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E033D" w14:textId="4D25C4DC" w:rsidR="002B12A5" w:rsidRDefault="002B12A5">
      <w:pPr>
        <w:pStyle w:val="ConsPlusTitlePage"/>
      </w:pPr>
      <w:r>
        <w:t xml:space="preserve">Документ предоставлен </w:t>
      </w:r>
      <w:hyperlink r:id="rId4" w:history="1">
        <w:r>
          <w:rPr>
            <w:color w:val="0000FF"/>
          </w:rPr>
          <w:t>КонсультантПлюс</w:t>
        </w:r>
      </w:hyperlink>
      <w:r>
        <w:br/>
      </w:r>
      <w:r w:rsidR="006A7888" w:rsidRPr="006A7888">
        <w:t>Приказ комитета государственной охраны объектов культурного наследия Волгоградской обл. от 22.11.2018 N 245 "Об утверждении границ и режима использования территории объекта культурного наследия регионального значения "Училище Кулибина (кинотеатр "Победа")", расположенного по адресу: г. Волгоград, ул. Коммунистическая, 1"</w:t>
      </w:r>
    </w:p>
    <w:p w14:paraId="17AF0E7C" w14:textId="77777777" w:rsidR="002B12A5" w:rsidRDefault="002B12A5">
      <w:pPr>
        <w:pStyle w:val="ConsPlusNormal"/>
        <w:jc w:val="both"/>
        <w:outlineLvl w:val="0"/>
      </w:pPr>
    </w:p>
    <w:p w14:paraId="31CB5DED" w14:textId="77777777" w:rsidR="002B12A5" w:rsidRDefault="002B12A5">
      <w:pPr>
        <w:pStyle w:val="ConsPlusTitle"/>
        <w:jc w:val="center"/>
        <w:outlineLvl w:val="0"/>
      </w:pPr>
      <w:r>
        <w:t>КОМИТЕТ ГОСУДАРСТВЕННОЙ ОХРАНЫ ОБЪЕКТОВ</w:t>
      </w:r>
    </w:p>
    <w:p w14:paraId="61DF0D62" w14:textId="77777777" w:rsidR="002B12A5" w:rsidRDefault="002B12A5">
      <w:pPr>
        <w:pStyle w:val="ConsPlusTitle"/>
        <w:jc w:val="center"/>
      </w:pPr>
      <w:r>
        <w:t>КУЛЬТУРНОГО НАСЛЕДИЯ ВОЛГОГРАДСКОЙ ОБЛАСТИ</w:t>
      </w:r>
    </w:p>
    <w:p w14:paraId="451162F6" w14:textId="77777777" w:rsidR="002B12A5" w:rsidRDefault="002B12A5">
      <w:pPr>
        <w:pStyle w:val="ConsPlusTitle"/>
        <w:jc w:val="both"/>
      </w:pPr>
    </w:p>
    <w:p w14:paraId="470E4298" w14:textId="77777777" w:rsidR="002B12A5" w:rsidRDefault="002B12A5">
      <w:pPr>
        <w:pStyle w:val="ConsPlusTitle"/>
        <w:jc w:val="center"/>
      </w:pPr>
      <w:r>
        <w:t>ПРИКАЗ</w:t>
      </w:r>
    </w:p>
    <w:p w14:paraId="091DA926" w14:textId="77777777" w:rsidR="002B12A5" w:rsidRDefault="002B12A5">
      <w:pPr>
        <w:pStyle w:val="ConsPlusTitle"/>
        <w:jc w:val="center"/>
      </w:pPr>
      <w:r>
        <w:t>от 22 ноября 2018 г. N 245</w:t>
      </w:r>
    </w:p>
    <w:p w14:paraId="51EEC7CF" w14:textId="77777777" w:rsidR="002B12A5" w:rsidRDefault="002B12A5">
      <w:pPr>
        <w:pStyle w:val="ConsPlusTitle"/>
        <w:jc w:val="both"/>
      </w:pPr>
    </w:p>
    <w:p w14:paraId="50742218" w14:textId="77777777" w:rsidR="002B12A5" w:rsidRDefault="002B12A5">
      <w:pPr>
        <w:pStyle w:val="ConsPlusTitle"/>
        <w:jc w:val="center"/>
      </w:pPr>
      <w:r>
        <w:t>ОБ УТВЕРЖДЕНИИ ГРАНИЦ И РЕЖИМА ИСПОЛЬЗОВАНИЯ ТЕРРИТОРИИ</w:t>
      </w:r>
    </w:p>
    <w:p w14:paraId="124CE104" w14:textId="77777777" w:rsidR="002B12A5" w:rsidRDefault="002B12A5">
      <w:pPr>
        <w:pStyle w:val="ConsPlusTitle"/>
        <w:jc w:val="center"/>
      </w:pPr>
      <w:r>
        <w:t>ОБЪЕКТА КУЛЬТУРНОГО НАСЛЕДИЯ РЕГИОНАЛЬНОГО ЗНАЧЕНИЯ "УЧИЛИЩЕ</w:t>
      </w:r>
    </w:p>
    <w:p w14:paraId="2A611851" w14:textId="77777777" w:rsidR="002B12A5" w:rsidRDefault="002B12A5">
      <w:pPr>
        <w:pStyle w:val="ConsPlusTitle"/>
        <w:jc w:val="center"/>
      </w:pPr>
      <w:r>
        <w:t>КУЛИБИНА (КИНОТЕАТР "ПОБЕДА")", РАСПОЛОЖЕННОГО</w:t>
      </w:r>
    </w:p>
    <w:p w14:paraId="69EEA84D" w14:textId="77777777" w:rsidR="002B12A5" w:rsidRDefault="002B12A5">
      <w:pPr>
        <w:pStyle w:val="ConsPlusTitle"/>
        <w:jc w:val="center"/>
      </w:pPr>
      <w:r>
        <w:t>ПО АДРЕСУ: Г. ВОЛГОГРАД, УЛ. КОММУНИСТИЧЕСКАЯ, 1</w:t>
      </w:r>
    </w:p>
    <w:p w14:paraId="03BB79C1" w14:textId="77777777" w:rsidR="002B12A5" w:rsidRDefault="002B12A5">
      <w:pPr>
        <w:pStyle w:val="ConsPlusNormal"/>
        <w:jc w:val="both"/>
      </w:pPr>
    </w:p>
    <w:p w14:paraId="4A3A842E" w14:textId="77777777" w:rsidR="002B12A5" w:rsidRDefault="002B12A5">
      <w:pPr>
        <w:pStyle w:val="ConsPlusNormal"/>
        <w:ind w:firstLine="540"/>
        <w:jc w:val="both"/>
      </w:pPr>
      <w:r>
        <w:t xml:space="preserve">В соответствии со </w:t>
      </w:r>
      <w:hyperlink r:id="rId5" w:history="1">
        <w:r>
          <w:rPr>
            <w:color w:val="0000FF"/>
          </w:rPr>
          <w:t>статьей 3.1</w:t>
        </w:r>
      </w:hyperlink>
      <w:r>
        <w:t xml:space="preserve">, </w:t>
      </w:r>
      <w:hyperlink r:id="rId6" w:history="1">
        <w:r>
          <w:rPr>
            <w:color w:val="0000FF"/>
          </w:rPr>
          <w:t>пунктом 2 статьи 33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r:id="rId7" w:history="1">
        <w:r>
          <w:rPr>
            <w:color w:val="0000FF"/>
          </w:rPr>
          <w:t>пунктом 8</w:t>
        </w:r>
      </w:hyperlink>
      <w:r>
        <w:t xml:space="preserve"> требований к составлению проектов границ территорий объектов культурного наследия, утвержденных приказом Министерства культуры Российской Федерации от 04 июня 2015 г. N 1745, </w:t>
      </w:r>
      <w:hyperlink r:id="rId8" w:history="1">
        <w:r>
          <w:rPr>
            <w:color w:val="0000FF"/>
          </w:rPr>
          <w:t>Положением</w:t>
        </w:r>
      </w:hyperlink>
      <w:r>
        <w:t xml:space="preserve"> о комитете государственной охраны объектов культурного наследия Волгоградской области, утвержденным постановлением Администрации Волгоградской области от 19 декабря 2016 г. N 697-п, приказываю:</w:t>
      </w:r>
    </w:p>
    <w:p w14:paraId="41EDB2DA" w14:textId="77777777" w:rsidR="002B12A5" w:rsidRDefault="002B12A5">
      <w:pPr>
        <w:pStyle w:val="ConsPlusNormal"/>
        <w:spacing w:before="220"/>
        <w:ind w:firstLine="540"/>
        <w:jc w:val="both"/>
      </w:pPr>
      <w:r>
        <w:t xml:space="preserve">1. Утвердить границы территории объекта культурного наследия регионального значения "Училище Кулибина (кинотеатр "Победа")", расположенного по адресу: г. Волгоград, ул. Коммунистическая, 1, согласно </w:t>
      </w:r>
      <w:hyperlink w:anchor="P33" w:history="1">
        <w:r>
          <w:rPr>
            <w:color w:val="0000FF"/>
          </w:rPr>
          <w:t>приложениям 1</w:t>
        </w:r>
      </w:hyperlink>
      <w:r>
        <w:t xml:space="preserve"> - </w:t>
      </w:r>
      <w:hyperlink w:anchor="P53" w:history="1">
        <w:r>
          <w:rPr>
            <w:color w:val="0000FF"/>
          </w:rPr>
          <w:t>2</w:t>
        </w:r>
      </w:hyperlink>
      <w:r>
        <w:t>.</w:t>
      </w:r>
    </w:p>
    <w:p w14:paraId="56F31C60" w14:textId="77777777" w:rsidR="002B12A5" w:rsidRDefault="002B12A5">
      <w:pPr>
        <w:pStyle w:val="ConsPlusNormal"/>
        <w:spacing w:before="220"/>
        <w:ind w:firstLine="540"/>
        <w:jc w:val="both"/>
      </w:pPr>
      <w:r>
        <w:t xml:space="preserve">2. Утвердить </w:t>
      </w:r>
      <w:hyperlink w:anchor="P142" w:history="1">
        <w:r>
          <w:rPr>
            <w:color w:val="0000FF"/>
          </w:rPr>
          <w:t>режимы</w:t>
        </w:r>
      </w:hyperlink>
      <w:r>
        <w:t xml:space="preserve"> использования территории объекта культурного наследия регионального значения "Училище Кулибина (кинотеатр "Победа")", расположенного по адресу: г. Волгоград, ул. Коммунистическая, 1, согласно приложению 3.</w:t>
      </w:r>
    </w:p>
    <w:p w14:paraId="47947E25" w14:textId="77777777" w:rsidR="002B12A5" w:rsidRDefault="002B12A5">
      <w:pPr>
        <w:pStyle w:val="ConsPlusNormal"/>
        <w:spacing w:before="220"/>
        <w:ind w:firstLine="540"/>
        <w:jc w:val="both"/>
      </w:pPr>
      <w:r>
        <w:t>3. Настоящий приказ вступает в силу со дня его подписания и подлежит официальному опубликованию.</w:t>
      </w:r>
    </w:p>
    <w:p w14:paraId="26B8212B" w14:textId="77777777" w:rsidR="002B12A5" w:rsidRDefault="002B12A5">
      <w:pPr>
        <w:pStyle w:val="ConsPlusNormal"/>
        <w:jc w:val="both"/>
      </w:pPr>
    </w:p>
    <w:p w14:paraId="00DD2C4B" w14:textId="77777777" w:rsidR="002B12A5" w:rsidRDefault="002B12A5">
      <w:pPr>
        <w:pStyle w:val="ConsPlusNormal"/>
        <w:jc w:val="right"/>
      </w:pPr>
      <w:r>
        <w:t>Временно осуществляющий полномочия</w:t>
      </w:r>
    </w:p>
    <w:p w14:paraId="3FF8D92A" w14:textId="77777777" w:rsidR="002B12A5" w:rsidRDefault="002B12A5">
      <w:pPr>
        <w:pStyle w:val="ConsPlusNormal"/>
        <w:jc w:val="right"/>
      </w:pPr>
      <w:r>
        <w:t>председателя комитета</w:t>
      </w:r>
    </w:p>
    <w:p w14:paraId="48B008A2" w14:textId="77777777" w:rsidR="002B12A5" w:rsidRDefault="002B12A5">
      <w:pPr>
        <w:pStyle w:val="ConsPlusNormal"/>
        <w:jc w:val="right"/>
      </w:pPr>
      <w:r>
        <w:t>А.Н.КРЫЛОВ</w:t>
      </w:r>
    </w:p>
    <w:p w14:paraId="24481521" w14:textId="77777777" w:rsidR="002B12A5" w:rsidRDefault="002B12A5">
      <w:pPr>
        <w:pStyle w:val="ConsPlusNormal"/>
        <w:jc w:val="both"/>
      </w:pPr>
    </w:p>
    <w:p w14:paraId="7C5F6A80" w14:textId="77777777" w:rsidR="002B12A5" w:rsidRDefault="002B12A5">
      <w:pPr>
        <w:pStyle w:val="ConsPlusNormal"/>
        <w:jc w:val="both"/>
      </w:pPr>
    </w:p>
    <w:p w14:paraId="7385B6B2" w14:textId="77777777" w:rsidR="002B12A5" w:rsidRDefault="002B12A5">
      <w:pPr>
        <w:pStyle w:val="ConsPlusNormal"/>
        <w:jc w:val="both"/>
      </w:pPr>
    </w:p>
    <w:p w14:paraId="6BBEB0CA" w14:textId="77777777" w:rsidR="002B12A5" w:rsidRDefault="002B12A5">
      <w:pPr>
        <w:pStyle w:val="ConsPlusNormal"/>
        <w:jc w:val="both"/>
      </w:pPr>
    </w:p>
    <w:p w14:paraId="0D912567" w14:textId="77777777" w:rsidR="002B12A5" w:rsidRDefault="002B12A5">
      <w:pPr>
        <w:pStyle w:val="ConsPlusNormal"/>
        <w:jc w:val="both"/>
      </w:pPr>
    </w:p>
    <w:p w14:paraId="1454A92D" w14:textId="77777777" w:rsidR="002B12A5" w:rsidRDefault="002B12A5">
      <w:pPr>
        <w:pStyle w:val="ConsPlusNormal"/>
        <w:jc w:val="right"/>
        <w:outlineLvl w:val="0"/>
      </w:pPr>
      <w:r>
        <w:t>Приложение 1</w:t>
      </w:r>
    </w:p>
    <w:p w14:paraId="0EEAE523" w14:textId="77777777" w:rsidR="002B12A5" w:rsidRDefault="002B12A5">
      <w:pPr>
        <w:pStyle w:val="ConsPlusNormal"/>
        <w:jc w:val="right"/>
      </w:pPr>
      <w:r>
        <w:t>к приказу</w:t>
      </w:r>
    </w:p>
    <w:p w14:paraId="6465359F" w14:textId="77777777" w:rsidR="002B12A5" w:rsidRDefault="002B12A5">
      <w:pPr>
        <w:pStyle w:val="ConsPlusNormal"/>
        <w:jc w:val="right"/>
      </w:pPr>
      <w:r>
        <w:t>комитета государственной</w:t>
      </w:r>
    </w:p>
    <w:p w14:paraId="19C700A9" w14:textId="77777777" w:rsidR="002B12A5" w:rsidRDefault="002B12A5">
      <w:pPr>
        <w:pStyle w:val="ConsPlusNormal"/>
        <w:jc w:val="right"/>
      </w:pPr>
      <w:r>
        <w:t>охраны объектов</w:t>
      </w:r>
    </w:p>
    <w:p w14:paraId="02711C74" w14:textId="77777777" w:rsidR="002B12A5" w:rsidRDefault="002B12A5">
      <w:pPr>
        <w:pStyle w:val="ConsPlusNormal"/>
        <w:jc w:val="right"/>
      </w:pPr>
      <w:r>
        <w:t>культурного наследия</w:t>
      </w:r>
    </w:p>
    <w:p w14:paraId="485D4570" w14:textId="77777777" w:rsidR="002B12A5" w:rsidRDefault="002B12A5">
      <w:pPr>
        <w:pStyle w:val="ConsPlusNormal"/>
        <w:jc w:val="right"/>
      </w:pPr>
      <w:r>
        <w:t>Волгоградской области</w:t>
      </w:r>
    </w:p>
    <w:p w14:paraId="3D3DB57A" w14:textId="77777777" w:rsidR="002B12A5" w:rsidRDefault="002B12A5">
      <w:pPr>
        <w:pStyle w:val="ConsPlusNormal"/>
        <w:jc w:val="right"/>
      </w:pPr>
      <w:r>
        <w:t>от 22.11.18 N 245</w:t>
      </w:r>
    </w:p>
    <w:p w14:paraId="0367E75C" w14:textId="77777777" w:rsidR="002B12A5" w:rsidRDefault="002B12A5">
      <w:pPr>
        <w:pStyle w:val="ConsPlusNormal"/>
        <w:jc w:val="both"/>
      </w:pPr>
    </w:p>
    <w:p w14:paraId="44236653" w14:textId="77777777" w:rsidR="002B12A5" w:rsidRDefault="002B12A5">
      <w:pPr>
        <w:pStyle w:val="ConsPlusTitle"/>
        <w:jc w:val="center"/>
      </w:pPr>
      <w:bookmarkStart w:id="0" w:name="P33"/>
      <w:bookmarkEnd w:id="0"/>
      <w:r>
        <w:t>СХЕМА</w:t>
      </w:r>
    </w:p>
    <w:p w14:paraId="1D1956F2" w14:textId="77777777" w:rsidR="002B12A5" w:rsidRDefault="002B12A5">
      <w:pPr>
        <w:pStyle w:val="ConsPlusTitle"/>
        <w:jc w:val="center"/>
      </w:pPr>
      <w:r>
        <w:t>ГРАНИЦ ТЕРРИТОРИИ ОБЪЕКТА КУЛЬТУРНОГО НАСЛЕДИЯ РЕГИОНАЛЬНОГО</w:t>
      </w:r>
    </w:p>
    <w:p w14:paraId="70293EC1" w14:textId="77777777" w:rsidR="002B12A5" w:rsidRDefault="002B12A5">
      <w:pPr>
        <w:pStyle w:val="ConsPlusTitle"/>
        <w:jc w:val="center"/>
      </w:pPr>
      <w:r>
        <w:t>ЗНАЧЕНИЯ "УЧИЛИЩЕ КУЛИБИНА (КИНОТЕАТР "ПОБЕДА")",</w:t>
      </w:r>
    </w:p>
    <w:p w14:paraId="79595ED5" w14:textId="77777777" w:rsidR="002B12A5" w:rsidRDefault="002B12A5">
      <w:pPr>
        <w:pStyle w:val="ConsPlusTitle"/>
        <w:jc w:val="center"/>
      </w:pPr>
      <w:r>
        <w:lastRenderedPageBreak/>
        <w:t>РАСПОЛОЖЕННОГО ПО АДРЕСУ: Г. ВОЛГОГРАД,</w:t>
      </w:r>
    </w:p>
    <w:p w14:paraId="749800CB" w14:textId="77777777" w:rsidR="002B12A5" w:rsidRDefault="002B12A5">
      <w:pPr>
        <w:pStyle w:val="ConsPlusTitle"/>
        <w:jc w:val="center"/>
      </w:pPr>
      <w:r>
        <w:t>УЛ. КОММУНИСТИЧЕСКАЯ, 1</w:t>
      </w:r>
    </w:p>
    <w:p w14:paraId="06636FD9" w14:textId="77777777" w:rsidR="002B12A5" w:rsidRDefault="002B12A5">
      <w:pPr>
        <w:pStyle w:val="ConsPlusNormal"/>
        <w:jc w:val="both"/>
      </w:pPr>
    </w:p>
    <w:p w14:paraId="2FC6944D" w14:textId="77777777" w:rsidR="002B12A5" w:rsidRDefault="006A7888">
      <w:pPr>
        <w:pStyle w:val="ConsPlusNormal"/>
        <w:jc w:val="center"/>
      </w:pPr>
      <w:r>
        <w:rPr>
          <w:position w:val="-487"/>
        </w:rPr>
        <w:pict w14:anchorId="0B161214">
          <v:shape id="_x0000_i1025" style="width:436.85pt;height:498.1pt" coordsize="" o:spt="100" adj="0,,0" path="" filled="f" stroked="f">
            <v:stroke joinstyle="miter"/>
            <v:imagedata r:id="rId9" o:title="base_23732_178241_32768"/>
            <v:formulas/>
            <v:path o:connecttype="segments"/>
          </v:shape>
        </w:pict>
      </w:r>
    </w:p>
    <w:p w14:paraId="703417D9" w14:textId="77777777" w:rsidR="002B12A5" w:rsidRDefault="002B12A5">
      <w:pPr>
        <w:pStyle w:val="ConsPlusNormal"/>
        <w:jc w:val="both"/>
      </w:pPr>
    </w:p>
    <w:p w14:paraId="1983E3C9" w14:textId="77777777" w:rsidR="002B12A5" w:rsidRDefault="002B12A5">
      <w:pPr>
        <w:pStyle w:val="ConsPlusNormal"/>
        <w:jc w:val="both"/>
      </w:pPr>
    </w:p>
    <w:p w14:paraId="73C6448C" w14:textId="77777777" w:rsidR="002B12A5" w:rsidRDefault="002B12A5">
      <w:pPr>
        <w:pStyle w:val="ConsPlusNormal"/>
        <w:jc w:val="both"/>
      </w:pPr>
    </w:p>
    <w:p w14:paraId="1840A759" w14:textId="77777777" w:rsidR="002B12A5" w:rsidRDefault="002B12A5">
      <w:pPr>
        <w:pStyle w:val="ConsPlusNormal"/>
        <w:jc w:val="both"/>
      </w:pPr>
    </w:p>
    <w:p w14:paraId="0360B7CF" w14:textId="77777777" w:rsidR="002B12A5" w:rsidRDefault="002B12A5">
      <w:pPr>
        <w:pStyle w:val="ConsPlusNormal"/>
        <w:jc w:val="both"/>
      </w:pPr>
    </w:p>
    <w:p w14:paraId="307835B3" w14:textId="77777777" w:rsidR="002B12A5" w:rsidRDefault="002B12A5">
      <w:pPr>
        <w:pStyle w:val="ConsPlusNormal"/>
        <w:jc w:val="right"/>
        <w:outlineLvl w:val="0"/>
      </w:pPr>
      <w:r>
        <w:t>Приложение 2</w:t>
      </w:r>
    </w:p>
    <w:p w14:paraId="0EB0E208" w14:textId="77777777" w:rsidR="002B12A5" w:rsidRDefault="002B12A5">
      <w:pPr>
        <w:pStyle w:val="ConsPlusNormal"/>
        <w:jc w:val="right"/>
      </w:pPr>
      <w:r>
        <w:t>к приказу</w:t>
      </w:r>
    </w:p>
    <w:p w14:paraId="32DC03C1" w14:textId="77777777" w:rsidR="002B12A5" w:rsidRDefault="002B12A5">
      <w:pPr>
        <w:pStyle w:val="ConsPlusNormal"/>
        <w:jc w:val="right"/>
      </w:pPr>
      <w:r>
        <w:t>комитета государственной</w:t>
      </w:r>
    </w:p>
    <w:p w14:paraId="3D88DB74" w14:textId="77777777" w:rsidR="002B12A5" w:rsidRDefault="002B12A5">
      <w:pPr>
        <w:pStyle w:val="ConsPlusNormal"/>
        <w:jc w:val="right"/>
      </w:pPr>
      <w:r>
        <w:t>охраны объектов</w:t>
      </w:r>
    </w:p>
    <w:p w14:paraId="4657D0E6" w14:textId="77777777" w:rsidR="002B12A5" w:rsidRDefault="002B12A5">
      <w:pPr>
        <w:pStyle w:val="ConsPlusNormal"/>
        <w:jc w:val="right"/>
      </w:pPr>
      <w:r>
        <w:t>культурного наследия</w:t>
      </w:r>
    </w:p>
    <w:p w14:paraId="31F5E6A4" w14:textId="77777777" w:rsidR="002B12A5" w:rsidRDefault="002B12A5">
      <w:pPr>
        <w:pStyle w:val="ConsPlusNormal"/>
        <w:jc w:val="right"/>
      </w:pPr>
      <w:r>
        <w:t>Волгоградской области</w:t>
      </w:r>
    </w:p>
    <w:p w14:paraId="419DE850" w14:textId="77777777" w:rsidR="002B12A5" w:rsidRDefault="002B12A5">
      <w:pPr>
        <w:pStyle w:val="ConsPlusNormal"/>
        <w:jc w:val="right"/>
      </w:pPr>
      <w:r>
        <w:t>от 22.11.18 N 245</w:t>
      </w:r>
    </w:p>
    <w:p w14:paraId="61E60A85" w14:textId="77777777" w:rsidR="002B12A5" w:rsidRDefault="002B12A5">
      <w:pPr>
        <w:pStyle w:val="ConsPlusNormal"/>
        <w:jc w:val="both"/>
      </w:pPr>
    </w:p>
    <w:p w14:paraId="512E78C4" w14:textId="77777777" w:rsidR="002B12A5" w:rsidRDefault="002B12A5">
      <w:pPr>
        <w:pStyle w:val="ConsPlusTitle"/>
        <w:jc w:val="center"/>
      </w:pPr>
      <w:bookmarkStart w:id="1" w:name="P53"/>
      <w:bookmarkEnd w:id="1"/>
      <w:r>
        <w:t>ПЕРЕЧЕНЬ</w:t>
      </w:r>
    </w:p>
    <w:p w14:paraId="7EDBD8FB" w14:textId="77777777" w:rsidR="002B12A5" w:rsidRDefault="002B12A5">
      <w:pPr>
        <w:pStyle w:val="ConsPlusTitle"/>
        <w:jc w:val="center"/>
      </w:pPr>
      <w:r>
        <w:lastRenderedPageBreak/>
        <w:t>КООРДИНАТ ХАРАКТЕРНЫХ ТОЧЕК ГРАНИЦ ТЕРРИТОРИИ ОБЪЕКТА</w:t>
      </w:r>
    </w:p>
    <w:p w14:paraId="532016F5" w14:textId="77777777" w:rsidR="002B12A5" w:rsidRDefault="002B12A5">
      <w:pPr>
        <w:pStyle w:val="ConsPlusTitle"/>
        <w:jc w:val="center"/>
      </w:pPr>
      <w:r>
        <w:t>КУЛЬТУРНОГО НАСЛЕДИЯ РЕГИОНАЛЬНОГО ЗНАЧЕНИЯ "УЧИЛИЩЕ</w:t>
      </w:r>
    </w:p>
    <w:p w14:paraId="111DA5ED" w14:textId="77777777" w:rsidR="002B12A5" w:rsidRDefault="002B12A5">
      <w:pPr>
        <w:pStyle w:val="ConsPlusTitle"/>
        <w:jc w:val="center"/>
      </w:pPr>
      <w:r>
        <w:t>КУЛИБИНА (КИНОТЕАТР "ПОБЕДА")", РАСПОЛОЖЕННОГО</w:t>
      </w:r>
    </w:p>
    <w:p w14:paraId="39731E4F" w14:textId="77777777" w:rsidR="002B12A5" w:rsidRDefault="002B12A5">
      <w:pPr>
        <w:pStyle w:val="ConsPlusTitle"/>
        <w:jc w:val="center"/>
      </w:pPr>
      <w:r>
        <w:t>ПО АДРЕСУ: Г. ВОЛГОГРАД, УЛ. КОММУНИСТИЧЕСКАЯ, 1</w:t>
      </w:r>
    </w:p>
    <w:p w14:paraId="105E92CC" w14:textId="77777777" w:rsidR="002B12A5" w:rsidRDefault="002B12A5">
      <w:pPr>
        <w:pStyle w:val="ConsPlusNormal"/>
        <w:jc w:val="both"/>
      </w:pPr>
    </w:p>
    <w:p w14:paraId="17324446" w14:textId="77777777" w:rsidR="002B12A5" w:rsidRDefault="002B12A5">
      <w:pPr>
        <w:pStyle w:val="ConsPlusTitle"/>
        <w:jc w:val="center"/>
        <w:outlineLvl w:val="1"/>
      </w:pPr>
      <w:r>
        <w:t>Система координат: местная г. Волгоград</w:t>
      </w:r>
    </w:p>
    <w:p w14:paraId="7E71F2B0" w14:textId="77777777" w:rsidR="002B12A5" w:rsidRDefault="002B12A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09"/>
        <w:gridCol w:w="1393"/>
        <w:gridCol w:w="1871"/>
        <w:gridCol w:w="1985"/>
      </w:tblGrid>
      <w:tr w:rsidR="002B12A5" w14:paraId="62EEFE43" w14:textId="77777777">
        <w:tc>
          <w:tcPr>
            <w:tcW w:w="1757" w:type="dxa"/>
            <w:vAlign w:val="center"/>
          </w:tcPr>
          <w:p w14:paraId="74785227" w14:textId="77777777" w:rsidR="002B12A5" w:rsidRDefault="002B12A5">
            <w:pPr>
              <w:pStyle w:val="ConsPlusNormal"/>
              <w:jc w:val="center"/>
            </w:pPr>
            <w:r>
              <w:t>Номер характерной точки</w:t>
            </w:r>
          </w:p>
        </w:tc>
        <w:tc>
          <w:tcPr>
            <w:tcW w:w="2009" w:type="dxa"/>
          </w:tcPr>
          <w:p w14:paraId="46F4AB10" w14:textId="77777777" w:rsidR="002B12A5" w:rsidRDefault="002B12A5">
            <w:pPr>
              <w:pStyle w:val="ConsPlusNormal"/>
              <w:jc w:val="center"/>
            </w:pPr>
            <w:r>
              <w:t>Дирекционные углы (град. мин. сек.)</w:t>
            </w:r>
          </w:p>
        </w:tc>
        <w:tc>
          <w:tcPr>
            <w:tcW w:w="1393" w:type="dxa"/>
          </w:tcPr>
          <w:p w14:paraId="33535942" w14:textId="77777777" w:rsidR="002B12A5" w:rsidRDefault="002B12A5">
            <w:pPr>
              <w:pStyle w:val="ConsPlusNormal"/>
              <w:jc w:val="center"/>
            </w:pPr>
            <w:r>
              <w:t>Длина линии</w:t>
            </w:r>
          </w:p>
        </w:tc>
        <w:tc>
          <w:tcPr>
            <w:tcW w:w="1871" w:type="dxa"/>
            <w:vAlign w:val="center"/>
          </w:tcPr>
          <w:p w14:paraId="1F9407A7" w14:textId="77777777" w:rsidR="002B12A5" w:rsidRDefault="002B12A5">
            <w:pPr>
              <w:pStyle w:val="ConsPlusNormal"/>
              <w:jc w:val="center"/>
            </w:pPr>
            <w:r>
              <w:t>X</w:t>
            </w:r>
          </w:p>
        </w:tc>
        <w:tc>
          <w:tcPr>
            <w:tcW w:w="1985" w:type="dxa"/>
            <w:vAlign w:val="center"/>
          </w:tcPr>
          <w:p w14:paraId="0CF660DF" w14:textId="77777777" w:rsidR="002B12A5" w:rsidRDefault="002B12A5">
            <w:pPr>
              <w:pStyle w:val="ConsPlusNormal"/>
              <w:jc w:val="center"/>
            </w:pPr>
            <w:r>
              <w:t>Y</w:t>
            </w:r>
          </w:p>
        </w:tc>
      </w:tr>
      <w:tr w:rsidR="002B12A5" w14:paraId="53E89BE1" w14:textId="77777777">
        <w:tc>
          <w:tcPr>
            <w:tcW w:w="1757" w:type="dxa"/>
          </w:tcPr>
          <w:p w14:paraId="059D3379" w14:textId="77777777" w:rsidR="002B12A5" w:rsidRDefault="002B12A5">
            <w:pPr>
              <w:pStyle w:val="ConsPlusNormal"/>
              <w:jc w:val="center"/>
            </w:pPr>
            <w:r>
              <w:t>1</w:t>
            </w:r>
          </w:p>
        </w:tc>
        <w:tc>
          <w:tcPr>
            <w:tcW w:w="2009" w:type="dxa"/>
          </w:tcPr>
          <w:p w14:paraId="7ACC6858" w14:textId="77777777" w:rsidR="002B12A5" w:rsidRDefault="002B12A5">
            <w:pPr>
              <w:pStyle w:val="ConsPlusNormal"/>
            </w:pPr>
          </w:p>
        </w:tc>
        <w:tc>
          <w:tcPr>
            <w:tcW w:w="1393" w:type="dxa"/>
          </w:tcPr>
          <w:p w14:paraId="0ECBEB70" w14:textId="77777777" w:rsidR="002B12A5" w:rsidRDefault="002B12A5">
            <w:pPr>
              <w:pStyle w:val="ConsPlusNormal"/>
            </w:pPr>
          </w:p>
        </w:tc>
        <w:tc>
          <w:tcPr>
            <w:tcW w:w="1871" w:type="dxa"/>
          </w:tcPr>
          <w:p w14:paraId="4013D7B8" w14:textId="77777777" w:rsidR="002B12A5" w:rsidRDefault="002B12A5">
            <w:pPr>
              <w:pStyle w:val="ConsPlusNormal"/>
              <w:jc w:val="center"/>
            </w:pPr>
            <w:r>
              <w:t>-266,09</w:t>
            </w:r>
          </w:p>
        </w:tc>
        <w:tc>
          <w:tcPr>
            <w:tcW w:w="1985" w:type="dxa"/>
          </w:tcPr>
          <w:p w14:paraId="544771E1" w14:textId="77777777" w:rsidR="002B12A5" w:rsidRDefault="002B12A5">
            <w:pPr>
              <w:pStyle w:val="ConsPlusNormal"/>
              <w:jc w:val="center"/>
            </w:pPr>
            <w:r>
              <w:t>-233,19</w:t>
            </w:r>
          </w:p>
        </w:tc>
      </w:tr>
      <w:tr w:rsidR="002B12A5" w14:paraId="625BBF23" w14:textId="77777777">
        <w:tc>
          <w:tcPr>
            <w:tcW w:w="1757" w:type="dxa"/>
          </w:tcPr>
          <w:p w14:paraId="1DB0EA18" w14:textId="77777777" w:rsidR="002B12A5" w:rsidRDefault="002B12A5">
            <w:pPr>
              <w:pStyle w:val="ConsPlusNormal"/>
            </w:pPr>
          </w:p>
        </w:tc>
        <w:tc>
          <w:tcPr>
            <w:tcW w:w="2009" w:type="dxa"/>
          </w:tcPr>
          <w:p w14:paraId="27116F04" w14:textId="77777777" w:rsidR="002B12A5" w:rsidRDefault="002B12A5">
            <w:pPr>
              <w:pStyle w:val="ConsPlusNormal"/>
              <w:jc w:val="center"/>
            </w:pPr>
            <w:r>
              <w:t>314°47'30"</w:t>
            </w:r>
          </w:p>
        </w:tc>
        <w:tc>
          <w:tcPr>
            <w:tcW w:w="1393" w:type="dxa"/>
          </w:tcPr>
          <w:p w14:paraId="62DCAD30" w14:textId="77777777" w:rsidR="002B12A5" w:rsidRDefault="002B12A5">
            <w:pPr>
              <w:pStyle w:val="ConsPlusNormal"/>
              <w:jc w:val="center"/>
            </w:pPr>
            <w:r>
              <w:t>89,41</w:t>
            </w:r>
          </w:p>
        </w:tc>
        <w:tc>
          <w:tcPr>
            <w:tcW w:w="1871" w:type="dxa"/>
          </w:tcPr>
          <w:p w14:paraId="46ED083E" w14:textId="77777777" w:rsidR="002B12A5" w:rsidRDefault="002B12A5">
            <w:pPr>
              <w:pStyle w:val="ConsPlusNormal"/>
            </w:pPr>
          </w:p>
        </w:tc>
        <w:tc>
          <w:tcPr>
            <w:tcW w:w="1985" w:type="dxa"/>
          </w:tcPr>
          <w:p w14:paraId="0E620B64" w14:textId="77777777" w:rsidR="002B12A5" w:rsidRDefault="002B12A5">
            <w:pPr>
              <w:pStyle w:val="ConsPlusNormal"/>
            </w:pPr>
          </w:p>
        </w:tc>
      </w:tr>
      <w:tr w:rsidR="002B12A5" w14:paraId="10D22BFB" w14:textId="77777777">
        <w:tc>
          <w:tcPr>
            <w:tcW w:w="1757" w:type="dxa"/>
          </w:tcPr>
          <w:p w14:paraId="74C08A50" w14:textId="77777777" w:rsidR="002B12A5" w:rsidRDefault="002B12A5">
            <w:pPr>
              <w:pStyle w:val="ConsPlusNormal"/>
              <w:jc w:val="center"/>
            </w:pPr>
            <w:r>
              <w:t>2</w:t>
            </w:r>
          </w:p>
        </w:tc>
        <w:tc>
          <w:tcPr>
            <w:tcW w:w="2009" w:type="dxa"/>
          </w:tcPr>
          <w:p w14:paraId="19870EC9" w14:textId="77777777" w:rsidR="002B12A5" w:rsidRDefault="002B12A5">
            <w:pPr>
              <w:pStyle w:val="ConsPlusNormal"/>
            </w:pPr>
          </w:p>
        </w:tc>
        <w:tc>
          <w:tcPr>
            <w:tcW w:w="1393" w:type="dxa"/>
          </w:tcPr>
          <w:p w14:paraId="6D4EE1E6" w14:textId="77777777" w:rsidR="002B12A5" w:rsidRDefault="002B12A5">
            <w:pPr>
              <w:pStyle w:val="ConsPlusNormal"/>
            </w:pPr>
          </w:p>
        </w:tc>
        <w:tc>
          <w:tcPr>
            <w:tcW w:w="1871" w:type="dxa"/>
          </w:tcPr>
          <w:p w14:paraId="063D2D31" w14:textId="77777777" w:rsidR="002B12A5" w:rsidRDefault="002B12A5">
            <w:pPr>
              <w:pStyle w:val="ConsPlusNormal"/>
              <w:jc w:val="center"/>
            </w:pPr>
            <w:r>
              <w:t>-203,1</w:t>
            </w:r>
          </w:p>
        </w:tc>
        <w:tc>
          <w:tcPr>
            <w:tcW w:w="1985" w:type="dxa"/>
          </w:tcPr>
          <w:p w14:paraId="73FB755B" w14:textId="77777777" w:rsidR="002B12A5" w:rsidRDefault="002B12A5">
            <w:pPr>
              <w:pStyle w:val="ConsPlusNormal"/>
              <w:jc w:val="center"/>
            </w:pPr>
            <w:r>
              <w:t>-296,64</w:t>
            </w:r>
          </w:p>
        </w:tc>
      </w:tr>
      <w:tr w:rsidR="002B12A5" w14:paraId="4D0A4267" w14:textId="77777777">
        <w:tc>
          <w:tcPr>
            <w:tcW w:w="1757" w:type="dxa"/>
          </w:tcPr>
          <w:p w14:paraId="69EE02D7" w14:textId="77777777" w:rsidR="002B12A5" w:rsidRDefault="002B12A5">
            <w:pPr>
              <w:pStyle w:val="ConsPlusNormal"/>
            </w:pPr>
          </w:p>
        </w:tc>
        <w:tc>
          <w:tcPr>
            <w:tcW w:w="2009" w:type="dxa"/>
          </w:tcPr>
          <w:p w14:paraId="6AEFD6F5" w14:textId="77777777" w:rsidR="002B12A5" w:rsidRDefault="002B12A5">
            <w:pPr>
              <w:pStyle w:val="ConsPlusNormal"/>
              <w:jc w:val="center"/>
            </w:pPr>
            <w:r>
              <w:t>44°47'47"</w:t>
            </w:r>
          </w:p>
        </w:tc>
        <w:tc>
          <w:tcPr>
            <w:tcW w:w="1393" w:type="dxa"/>
          </w:tcPr>
          <w:p w14:paraId="0E166194" w14:textId="77777777" w:rsidR="002B12A5" w:rsidRDefault="002B12A5">
            <w:pPr>
              <w:pStyle w:val="ConsPlusNormal"/>
              <w:jc w:val="center"/>
            </w:pPr>
            <w:r>
              <w:t>63,68</w:t>
            </w:r>
          </w:p>
        </w:tc>
        <w:tc>
          <w:tcPr>
            <w:tcW w:w="1871" w:type="dxa"/>
          </w:tcPr>
          <w:p w14:paraId="0BAA25E3" w14:textId="77777777" w:rsidR="002B12A5" w:rsidRDefault="002B12A5">
            <w:pPr>
              <w:pStyle w:val="ConsPlusNormal"/>
            </w:pPr>
          </w:p>
        </w:tc>
        <w:tc>
          <w:tcPr>
            <w:tcW w:w="1985" w:type="dxa"/>
          </w:tcPr>
          <w:p w14:paraId="197C3502" w14:textId="77777777" w:rsidR="002B12A5" w:rsidRDefault="002B12A5">
            <w:pPr>
              <w:pStyle w:val="ConsPlusNormal"/>
            </w:pPr>
          </w:p>
        </w:tc>
      </w:tr>
      <w:tr w:rsidR="002B12A5" w14:paraId="081DA8CC" w14:textId="77777777">
        <w:tc>
          <w:tcPr>
            <w:tcW w:w="1757" w:type="dxa"/>
          </w:tcPr>
          <w:p w14:paraId="1DA2377F" w14:textId="77777777" w:rsidR="002B12A5" w:rsidRDefault="002B12A5">
            <w:pPr>
              <w:pStyle w:val="ConsPlusNormal"/>
              <w:jc w:val="center"/>
            </w:pPr>
            <w:r>
              <w:t>3</w:t>
            </w:r>
          </w:p>
        </w:tc>
        <w:tc>
          <w:tcPr>
            <w:tcW w:w="2009" w:type="dxa"/>
          </w:tcPr>
          <w:p w14:paraId="7337C0F3" w14:textId="77777777" w:rsidR="002B12A5" w:rsidRDefault="002B12A5">
            <w:pPr>
              <w:pStyle w:val="ConsPlusNormal"/>
            </w:pPr>
          </w:p>
        </w:tc>
        <w:tc>
          <w:tcPr>
            <w:tcW w:w="1393" w:type="dxa"/>
          </w:tcPr>
          <w:p w14:paraId="3CF224DC" w14:textId="77777777" w:rsidR="002B12A5" w:rsidRDefault="002B12A5">
            <w:pPr>
              <w:pStyle w:val="ConsPlusNormal"/>
            </w:pPr>
          </w:p>
        </w:tc>
        <w:tc>
          <w:tcPr>
            <w:tcW w:w="1871" w:type="dxa"/>
          </w:tcPr>
          <w:p w14:paraId="307CEC0E" w14:textId="77777777" w:rsidR="002B12A5" w:rsidRDefault="002B12A5">
            <w:pPr>
              <w:pStyle w:val="ConsPlusNormal"/>
              <w:jc w:val="center"/>
            </w:pPr>
            <w:r>
              <w:t>-157,91</w:t>
            </w:r>
          </w:p>
        </w:tc>
        <w:tc>
          <w:tcPr>
            <w:tcW w:w="1985" w:type="dxa"/>
          </w:tcPr>
          <w:p w14:paraId="4378B0A6" w14:textId="77777777" w:rsidR="002B12A5" w:rsidRDefault="002B12A5">
            <w:pPr>
              <w:pStyle w:val="ConsPlusNormal"/>
              <w:jc w:val="center"/>
            </w:pPr>
            <w:r>
              <w:t>-251,77</w:t>
            </w:r>
          </w:p>
        </w:tc>
      </w:tr>
      <w:tr w:rsidR="002B12A5" w14:paraId="4E068348" w14:textId="77777777">
        <w:tc>
          <w:tcPr>
            <w:tcW w:w="1757" w:type="dxa"/>
          </w:tcPr>
          <w:p w14:paraId="74E16170" w14:textId="77777777" w:rsidR="002B12A5" w:rsidRDefault="002B12A5">
            <w:pPr>
              <w:pStyle w:val="ConsPlusNormal"/>
            </w:pPr>
          </w:p>
        </w:tc>
        <w:tc>
          <w:tcPr>
            <w:tcW w:w="2009" w:type="dxa"/>
          </w:tcPr>
          <w:p w14:paraId="056402E6" w14:textId="77777777" w:rsidR="002B12A5" w:rsidRDefault="002B12A5">
            <w:pPr>
              <w:pStyle w:val="ConsPlusNormal"/>
              <w:jc w:val="center"/>
            </w:pPr>
            <w:r>
              <w:t>134°47'46"</w:t>
            </w:r>
          </w:p>
        </w:tc>
        <w:tc>
          <w:tcPr>
            <w:tcW w:w="1393" w:type="dxa"/>
          </w:tcPr>
          <w:p w14:paraId="68CFD2BF" w14:textId="77777777" w:rsidR="002B12A5" w:rsidRDefault="002B12A5">
            <w:pPr>
              <w:pStyle w:val="ConsPlusNormal"/>
              <w:jc w:val="center"/>
            </w:pPr>
            <w:r>
              <w:t>89,4</w:t>
            </w:r>
          </w:p>
        </w:tc>
        <w:tc>
          <w:tcPr>
            <w:tcW w:w="1871" w:type="dxa"/>
          </w:tcPr>
          <w:p w14:paraId="07D4D523" w14:textId="77777777" w:rsidR="002B12A5" w:rsidRDefault="002B12A5">
            <w:pPr>
              <w:pStyle w:val="ConsPlusNormal"/>
            </w:pPr>
          </w:p>
        </w:tc>
        <w:tc>
          <w:tcPr>
            <w:tcW w:w="1985" w:type="dxa"/>
          </w:tcPr>
          <w:p w14:paraId="0B015AD6" w14:textId="77777777" w:rsidR="002B12A5" w:rsidRDefault="002B12A5">
            <w:pPr>
              <w:pStyle w:val="ConsPlusNormal"/>
            </w:pPr>
          </w:p>
        </w:tc>
      </w:tr>
      <w:tr w:rsidR="002B12A5" w14:paraId="0A0FA5FE" w14:textId="77777777">
        <w:tc>
          <w:tcPr>
            <w:tcW w:w="1757" w:type="dxa"/>
          </w:tcPr>
          <w:p w14:paraId="6AE73C31" w14:textId="77777777" w:rsidR="002B12A5" w:rsidRDefault="002B12A5">
            <w:pPr>
              <w:pStyle w:val="ConsPlusNormal"/>
              <w:jc w:val="center"/>
            </w:pPr>
            <w:r>
              <w:t>4</w:t>
            </w:r>
          </w:p>
        </w:tc>
        <w:tc>
          <w:tcPr>
            <w:tcW w:w="2009" w:type="dxa"/>
          </w:tcPr>
          <w:p w14:paraId="43FD183D" w14:textId="77777777" w:rsidR="002B12A5" w:rsidRDefault="002B12A5">
            <w:pPr>
              <w:pStyle w:val="ConsPlusNormal"/>
            </w:pPr>
          </w:p>
        </w:tc>
        <w:tc>
          <w:tcPr>
            <w:tcW w:w="1393" w:type="dxa"/>
          </w:tcPr>
          <w:p w14:paraId="5F97C07D" w14:textId="77777777" w:rsidR="002B12A5" w:rsidRDefault="002B12A5">
            <w:pPr>
              <w:pStyle w:val="ConsPlusNormal"/>
            </w:pPr>
          </w:p>
        </w:tc>
        <w:tc>
          <w:tcPr>
            <w:tcW w:w="1871" w:type="dxa"/>
          </w:tcPr>
          <w:p w14:paraId="5BC05D91" w14:textId="77777777" w:rsidR="002B12A5" w:rsidRDefault="002B12A5">
            <w:pPr>
              <w:pStyle w:val="ConsPlusNormal"/>
              <w:jc w:val="center"/>
            </w:pPr>
            <w:r>
              <w:t>-220,9</w:t>
            </w:r>
          </w:p>
        </w:tc>
        <w:tc>
          <w:tcPr>
            <w:tcW w:w="1985" w:type="dxa"/>
          </w:tcPr>
          <w:p w14:paraId="7DD25B90" w14:textId="77777777" w:rsidR="002B12A5" w:rsidRDefault="002B12A5">
            <w:pPr>
              <w:pStyle w:val="ConsPlusNormal"/>
              <w:jc w:val="center"/>
            </w:pPr>
            <w:r>
              <w:t>-188,33</w:t>
            </w:r>
          </w:p>
        </w:tc>
      </w:tr>
      <w:tr w:rsidR="002B12A5" w14:paraId="5D76053B" w14:textId="77777777">
        <w:tc>
          <w:tcPr>
            <w:tcW w:w="1757" w:type="dxa"/>
          </w:tcPr>
          <w:p w14:paraId="155FAC5C" w14:textId="77777777" w:rsidR="002B12A5" w:rsidRDefault="002B12A5">
            <w:pPr>
              <w:pStyle w:val="ConsPlusNormal"/>
            </w:pPr>
          </w:p>
        </w:tc>
        <w:tc>
          <w:tcPr>
            <w:tcW w:w="2009" w:type="dxa"/>
          </w:tcPr>
          <w:p w14:paraId="126409E9" w14:textId="77777777" w:rsidR="002B12A5" w:rsidRDefault="002B12A5">
            <w:pPr>
              <w:pStyle w:val="ConsPlusNormal"/>
              <w:jc w:val="center"/>
            </w:pPr>
            <w:r>
              <w:t>224°47'24"</w:t>
            </w:r>
          </w:p>
        </w:tc>
        <w:tc>
          <w:tcPr>
            <w:tcW w:w="1393" w:type="dxa"/>
          </w:tcPr>
          <w:p w14:paraId="22DCE3DF" w14:textId="77777777" w:rsidR="002B12A5" w:rsidRDefault="002B12A5">
            <w:pPr>
              <w:pStyle w:val="ConsPlusNormal"/>
              <w:jc w:val="center"/>
            </w:pPr>
            <w:r>
              <w:t>63,68</w:t>
            </w:r>
          </w:p>
        </w:tc>
        <w:tc>
          <w:tcPr>
            <w:tcW w:w="1871" w:type="dxa"/>
          </w:tcPr>
          <w:p w14:paraId="0F1EACA5" w14:textId="77777777" w:rsidR="002B12A5" w:rsidRDefault="002B12A5">
            <w:pPr>
              <w:pStyle w:val="ConsPlusNormal"/>
            </w:pPr>
          </w:p>
        </w:tc>
        <w:tc>
          <w:tcPr>
            <w:tcW w:w="1985" w:type="dxa"/>
          </w:tcPr>
          <w:p w14:paraId="26D1E61F" w14:textId="77777777" w:rsidR="002B12A5" w:rsidRDefault="002B12A5">
            <w:pPr>
              <w:pStyle w:val="ConsPlusNormal"/>
            </w:pPr>
          </w:p>
        </w:tc>
      </w:tr>
      <w:tr w:rsidR="002B12A5" w14:paraId="30450975" w14:textId="77777777">
        <w:tc>
          <w:tcPr>
            <w:tcW w:w="1757" w:type="dxa"/>
          </w:tcPr>
          <w:p w14:paraId="13B39DB3" w14:textId="77777777" w:rsidR="002B12A5" w:rsidRDefault="002B12A5">
            <w:pPr>
              <w:pStyle w:val="ConsPlusNormal"/>
              <w:jc w:val="center"/>
            </w:pPr>
            <w:r>
              <w:t>1</w:t>
            </w:r>
          </w:p>
        </w:tc>
        <w:tc>
          <w:tcPr>
            <w:tcW w:w="2009" w:type="dxa"/>
          </w:tcPr>
          <w:p w14:paraId="6CB599C4" w14:textId="77777777" w:rsidR="002B12A5" w:rsidRDefault="002B12A5">
            <w:pPr>
              <w:pStyle w:val="ConsPlusNormal"/>
            </w:pPr>
          </w:p>
        </w:tc>
        <w:tc>
          <w:tcPr>
            <w:tcW w:w="1393" w:type="dxa"/>
          </w:tcPr>
          <w:p w14:paraId="0DD8E7D2" w14:textId="77777777" w:rsidR="002B12A5" w:rsidRDefault="002B12A5">
            <w:pPr>
              <w:pStyle w:val="ConsPlusNormal"/>
            </w:pPr>
          </w:p>
        </w:tc>
        <w:tc>
          <w:tcPr>
            <w:tcW w:w="1871" w:type="dxa"/>
          </w:tcPr>
          <w:p w14:paraId="55422141" w14:textId="77777777" w:rsidR="002B12A5" w:rsidRDefault="002B12A5">
            <w:pPr>
              <w:pStyle w:val="ConsPlusNormal"/>
              <w:jc w:val="center"/>
            </w:pPr>
            <w:r>
              <w:t>-266,09</w:t>
            </w:r>
          </w:p>
        </w:tc>
        <w:tc>
          <w:tcPr>
            <w:tcW w:w="1985" w:type="dxa"/>
          </w:tcPr>
          <w:p w14:paraId="65029CC4" w14:textId="77777777" w:rsidR="002B12A5" w:rsidRDefault="002B12A5">
            <w:pPr>
              <w:pStyle w:val="ConsPlusNormal"/>
              <w:jc w:val="center"/>
            </w:pPr>
            <w:r>
              <w:t>-233,19</w:t>
            </w:r>
          </w:p>
        </w:tc>
      </w:tr>
    </w:tbl>
    <w:p w14:paraId="6388A9D0" w14:textId="77777777" w:rsidR="002B12A5" w:rsidRDefault="002B12A5">
      <w:pPr>
        <w:pStyle w:val="ConsPlusNormal"/>
        <w:jc w:val="both"/>
      </w:pPr>
    </w:p>
    <w:p w14:paraId="0CE78860" w14:textId="77777777" w:rsidR="002B12A5" w:rsidRDefault="002B12A5">
      <w:pPr>
        <w:pStyle w:val="ConsPlusTitle"/>
        <w:jc w:val="center"/>
        <w:outlineLvl w:val="1"/>
      </w:pPr>
      <w:r>
        <w:t>Система координат: WGS 84</w:t>
      </w:r>
    </w:p>
    <w:p w14:paraId="29678F5C" w14:textId="77777777" w:rsidR="002B12A5" w:rsidRDefault="002B12A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005"/>
        <w:gridCol w:w="3175"/>
      </w:tblGrid>
      <w:tr w:rsidR="002B12A5" w14:paraId="5A87A4EF" w14:textId="77777777">
        <w:tc>
          <w:tcPr>
            <w:tcW w:w="2835" w:type="dxa"/>
          </w:tcPr>
          <w:p w14:paraId="04F39704" w14:textId="77777777" w:rsidR="002B12A5" w:rsidRDefault="002B12A5">
            <w:pPr>
              <w:pStyle w:val="ConsPlusNormal"/>
              <w:jc w:val="center"/>
            </w:pPr>
            <w:r>
              <w:t>Номер характерной точки</w:t>
            </w:r>
          </w:p>
        </w:tc>
        <w:tc>
          <w:tcPr>
            <w:tcW w:w="3005" w:type="dxa"/>
          </w:tcPr>
          <w:p w14:paraId="0FF518B9" w14:textId="77777777" w:rsidR="002B12A5" w:rsidRDefault="002B12A5">
            <w:pPr>
              <w:pStyle w:val="ConsPlusNormal"/>
              <w:jc w:val="center"/>
            </w:pPr>
            <w:r>
              <w:t>N</w:t>
            </w:r>
          </w:p>
        </w:tc>
        <w:tc>
          <w:tcPr>
            <w:tcW w:w="3175" w:type="dxa"/>
          </w:tcPr>
          <w:p w14:paraId="48C22163" w14:textId="77777777" w:rsidR="002B12A5" w:rsidRDefault="002B12A5">
            <w:pPr>
              <w:pStyle w:val="ConsPlusNormal"/>
              <w:jc w:val="center"/>
            </w:pPr>
            <w:r>
              <w:t>E</w:t>
            </w:r>
          </w:p>
        </w:tc>
      </w:tr>
      <w:tr w:rsidR="002B12A5" w14:paraId="3866EF22" w14:textId="77777777">
        <w:tc>
          <w:tcPr>
            <w:tcW w:w="2835" w:type="dxa"/>
          </w:tcPr>
          <w:p w14:paraId="20CF5A17" w14:textId="77777777" w:rsidR="002B12A5" w:rsidRDefault="002B12A5">
            <w:pPr>
              <w:pStyle w:val="ConsPlusNormal"/>
              <w:jc w:val="center"/>
            </w:pPr>
            <w:r>
              <w:t>1</w:t>
            </w:r>
          </w:p>
        </w:tc>
        <w:tc>
          <w:tcPr>
            <w:tcW w:w="3005" w:type="dxa"/>
          </w:tcPr>
          <w:p w14:paraId="4DBFE219" w14:textId="77777777" w:rsidR="002B12A5" w:rsidRDefault="002B12A5">
            <w:pPr>
              <w:pStyle w:val="ConsPlusNormal"/>
              <w:jc w:val="center"/>
            </w:pPr>
            <w:r>
              <w:t>48°42'26,73"С</w:t>
            </w:r>
          </w:p>
        </w:tc>
        <w:tc>
          <w:tcPr>
            <w:tcW w:w="3175" w:type="dxa"/>
          </w:tcPr>
          <w:p w14:paraId="5551A655" w14:textId="77777777" w:rsidR="002B12A5" w:rsidRDefault="002B12A5">
            <w:pPr>
              <w:pStyle w:val="ConsPlusNormal"/>
              <w:jc w:val="center"/>
            </w:pPr>
            <w:r>
              <w:t>44°30'26,06"В</w:t>
            </w:r>
          </w:p>
        </w:tc>
      </w:tr>
      <w:tr w:rsidR="002B12A5" w14:paraId="5EB00135" w14:textId="77777777">
        <w:tc>
          <w:tcPr>
            <w:tcW w:w="2835" w:type="dxa"/>
          </w:tcPr>
          <w:p w14:paraId="5FF0C68A" w14:textId="77777777" w:rsidR="002B12A5" w:rsidRDefault="002B12A5">
            <w:pPr>
              <w:pStyle w:val="ConsPlusNormal"/>
              <w:jc w:val="center"/>
            </w:pPr>
            <w:r>
              <w:t>2</w:t>
            </w:r>
          </w:p>
        </w:tc>
        <w:tc>
          <w:tcPr>
            <w:tcW w:w="3005" w:type="dxa"/>
          </w:tcPr>
          <w:p w14:paraId="32FD7825" w14:textId="77777777" w:rsidR="002B12A5" w:rsidRDefault="002B12A5">
            <w:pPr>
              <w:pStyle w:val="ConsPlusNormal"/>
              <w:jc w:val="center"/>
            </w:pPr>
            <w:r>
              <w:t>48°42'28,76"С</w:t>
            </w:r>
          </w:p>
        </w:tc>
        <w:tc>
          <w:tcPr>
            <w:tcW w:w="3175" w:type="dxa"/>
          </w:tcPr>
          <w:p w14:paraId="40F6FF61" w14:textId="77777777" w:rsidR="002B12A5" w:rsidRDefault="002B12A5">
            <w:pPr>
              <w:pStyle w:val="ConsPlusNormal"/>
              <w:jc w:val="center"/>
            </w:pPr>
            <w:r>
              <w:t>44°30'22,96"В</w:t>
            </w:r>
          </w:p>
        </w:tc>
      </w:tr>
      <w:tr w:rsidR="002B12A5" w14:paraId="3E24A20B" w14:textId="77777777">
        <w:tc>
          <w:tcPr>
            <w:tcW w:w="2835" w:type="dxa"/>
          </w:tcPr>
          <w:p w14:paraId="212B2759" w14:textId="77777777" w:rsidR="002B12A5" w:rsidRDefault="002B12A5">
            <w:pPr>
              <w:pStyle w:val="ConsPlusNormal"/>
              <w:jc w:val="center"/>
            </w:pPr>
            <w:r>
              <w:t>3</w:t>
            </w:r>
          </w:p>
        </w:tc>
        <w:tc>
          <w:tcPr>
            <w:tcW w:w="3005" w:type="dxa"/>
          </w:tcPr>
          <w:p w14:paraId="0F9133B0" w14:textId="77777777" w:rsidR="002B12A5" w:rsidRDefault="002B12A5">
            <w:pPr>
              <w:pStyle w:val="ConsPlusNormal"/>
              <w:jc w:val="center"/>
            </w:pPr>
            <w:r>
              <w:t>48°42'30,26"С</w:t>
            </w:r>
          </w:p>
        </w:tc>
        <w:tc>
          <w:tcPr>
            <w:tcW w:w="3175" w:type="dxa"/>
          </w:tcPr>
          <w:p w14:paraId="50789CCF" w14:textId="77777777" w:rsidR="002B12A5" w:rsidRDefault="002B12A5">
            <w:pPr>
              <w:pStyle w:val="ConsPlusNormal"/>
              <w:jc w:val="center"/>
            </w:pPr>
            <w:r>
              <w:t>44°30'25,15"В</w:t>
            </w:r>
          </w:p>
        </w:tc>
      </w:tr>
      <w:tr w:rsidR="002B12A5" w14:paraId="593D1E24" w14:textId="77777777">
        <w:tc>
          <w:tcPr>
            <w:tcW w:w="2835" w:type="dxa"/>
          </w:tcPr>
          <w:p w14:paraId="1E69489B" w14:textId="77777777" w:rsidR="002B12A5" w:rsidRDefault="002B12A5">
            <w:pPr>
              <w:pStyle w:val="ConsPlusNormal"/>
              <w:jc w:val="center"/>
            </w:pPr>
            <w:r>
              <w:t>4</w:t>
            </w:r>
          </w:p>
        </w:tc>
        <w:tc>
          <w:tcPr>
            <w:tcW w:w="3005" w:type="dxa"/>
          </w:tcPr>
          <w:p w14:paraId="48131629" w14:textId="77777777" w:rsidR="002B12A5" w:rsidRDefault="002B12A5">
            <w:pPr>
              <w:pStyle w:val="ConsPlusNormal"/>
              <w:jc w:val="center"/>
            </w:pPr>
            <w:r>
              <w:t>48°42'28,19"С</w:t>
            </w:r>
          </w:p>
        </w:tc>
        <w:tc>
          <w:tcPr>
            <w:tcW w:w="3175" w:type="dxa"/>
          </w:tcPr>
          <w:p w14:paraId="1F45F10C" w14:textId="77777777" w:rsidR="002B12A5" w:rsidRDefault="002B12A5">
            <w:pPr>
              <w:pStyle w:val="ConsPlusNormal"/>
              <w:jc w:val="center"/>
            </w:pPr>
            <w:r>
              <w:t>44°30'28,26"В</w:t>
            </w:r>
          </w:p>
        </w:tc>
      </w:tr>
    </w:tbl>
    <w:p w14:paraId="18BA418B" w14:textId="77777777" w:rsidR="002B12A5" w:rsidRDefault="002B12A5">
      <w:pPr>
        <w:pStyle w:val="ConsPlusNormal"/>
        <w:jc w:val="both"/>
      </w:pPr>
    </w:p>
    <w:p w14:paraId="3C712BA4" w14:textId="77777777" w:rsidR="002B12A5" w:rsidRDefault="002B12A5">
      <w:pPr>
        <w:pStyle w:val="ConsPlusNormal"/>
        <w:jc w:val="both"/>
      </w:pPr>
    </w:p>
    <w:p w14:paraId="5CA40A9E" w14:textId="77777777" w:rsidR="002B12A5" w:rsidRDefault="002B12A5">
      <w:pPr>
        <w:pStyle w:val="ConsPlusNormal"/>
        <w:jc w:val="both"/>
      </w:pPr>
    </w:p>
    <w:p w14:paraId="1C3839A6" w14:textId="77777777" w:rsidR="002B12A5" w:rsidRDefault="002B12A5">
      <w:pPr>
        <w:pStyle w:val="ConsPlusNormal"/>
        <w:jc w:val="both"/>
      </w:pPr>
    </w:p>
    <w:p w14:paraId="34085E83" w14:textId="77777777" w:rsidR="002B12A5" w:rsidRDefault="002B12A5">
      <w:pPr>
        <w:pStyle w:val="ConsPlusNormal"/>
        <w:jc w:val="both"/>
      </w:pPr>
    </w:p>
    <w:p w14:paraId="401E8CD3" w14:textId="77777777" w:rsidR="002B12A5" w:rsidRDefault="002B12A5">
      <w:pPr>
        <w:pStyle w:val="ConsPlusNormal"/>
        <w:jc w:val="right"/>
        <w:outlineLvl w:val="0"/>
      </w:pPr>
      <w:r>
        <w:t>Приложение 3</w:t>
      </w:r>
    </w:p>
    <w:p w14:paraId="6F0D4E32" w14:textId="77777777" w:rsidR="002B12A5" w:rsidRDefault="002B12A5">
      <w:pPr>
        <w:pStyle w:val="ConsPlusNormal"/>
        <w:jc w:val="right"/>
      </w:pPr>
      <w:r>
        <w:t>к приказу</w:t>
      </w:r>
    </w:p>
    <w:p w14:paraId="6C7DC24E" w14:textId="77777777" w:rsidR="002B12A5" w:rsidRDefault="002B12A5">
      <w:pPr>
        <w:pStyle w:val="ConsPlusNormal"/>
        <w:jc w:val="right"/>
      </w:pPr>
      <w:r>
        <w:t>комитета государственной</w:t>
      </w:r>
    </w:p>
    <w:p w14:paraId="2F942B24" w14:textId="77777777" w:rsidR="002B12A5" w:rsidRDefault="002B12A5">
      <w:pPr>
        <w:pStyle w:val="ConsPlusNormal"/>
        <w:jc w:val="right"/>
      </w:pPr>
      <w:r>
        <w:t>охраны объектов</w:t>
      </w:r>
    </w:p>
    <w:p w14:paraId="6247C0D8" w14:textId="77777777" w:rsidR="002B12A5" w:rsidRDefault="002B12A5">
      <w:pPr>
        <w:pStyle w:val="ConsPlusNormal"/>
        <w:jc w:val="right"/>
      </w:pPr>
      <w:r>
        <w:t>культурного наследия</w:t>
      </w:r>
    </w:p>
    <w:p w14:paraId="75BE0438" w14:textId="77777777" w:rsidR="002B12A5" w:rsidRDefault="002B12A5">
      <w:pPr>
        <w:pStyle w:val="ConsPlusNormal"/>
        <w:jc w:val="right"/>
      </w:pPr>
      <w:r>
        <w:t>Волгоградской области</w:t>
      </w:r>
    </w:p>
    <w:p w14:paraId="15B4CBD0" w14:textId="77777777" w:rsidR="002B12A5" w:rsidRDefault="002B12A5">
      <w:pPr>
        <w:pStyle w:val="ConsPlusNormal"/>
        <w:jc w:val="right"/>
      </w:pPr>
      <w:r>
        <w:t>от 22.11.18 N 245</w:t>
      </w:r>
    </w:p>
    <w:p w14:paraId="53FB9A97" w14:textId="77777777" w:rsidR="002B12A5" w:rsidRDefault="002B12A5">
      <w:pPr>
        <w:pStyle w:val="ConsPlusNormal"/>
        <w:jc w:val="both"/>
      </w:pPr>
    </w:p>
    <w:p w14:paraId="76667D40" w14:textId="77777777" w:rsidR="002B12A5" w:rsidRDefault="002B12A5">
      <w:pPr>
        <w:pStyle w:val="ConsPlusTitle"/>
        <w:jc w:val="center"/>
      </w:pPr>
      <w:bookmarkStart w:id="2" w:name="P142"/>
      <w:bookmarkEnd w:id="2"/>
      <w:r>
        <w:t>РЕЖИМ ИСПОЛЬЗОВАНИЯ ТЕРРИТОРИИ ОБЪЕКТА КУЛЬТУРНОГО НАСЛЕДИЯ</w:t>
      </w:r>
    </w:p>
    <w:p w14:paraId="54DFFDC1" w14:textId="77777777" w:rsidR="002B12A5" w:rsidRDefault="002B12A5">
      <w:pPr>
        <w:pStyle w:val="ConsPlusTitle"/>
        <w:jc w:val="center"/>
      </w:pPr>
      <w:r>
        <w:t>РЕГИОНАЛЬНОГО ЗНАЧЕНИЯ "УЧИЛИЩЕ КУЛИБИНА (КИНОТЕАТР</w:t>
      </w:r>
    </w:p>
    <w:p w14:paraId="3016B88B" w14:textId="77777777" w:rsidR="002B12A5" w:rsidRDefault="002B12A5">
      <w:pPr>
        <w:pStyle w:val="ConsPlusTitle"/>
        <w:jc w:val="center"/>
      </w:pPr>
      <w:r>
        <w:lastRenderedPageBreak/>
        <w:t>"ПОБЕДА")", РАСПОЛОЖЕННОГО ПО АДРЕСУ: Г. ВОЛГОГРАД,</w:t>
      </w:r>
    </w:p>
    <w:p w14:paraId="72B287C2" w14:textId="77777777" w:rsidR="002B12A5" w:rsidRDefault="002B12A5">
      <w:pPr>
        <w:pStyle w:val="ConsPlusTitle"/>
        <w:jc w:val="center"/>
      </w:pPr>
      <w:r>
        <w:t>УЛ. КОММУНИСТИЧЕСКАЯ, 1</w:t>
      </w:r>
    </w:p>
    <w:p w14:paraId="460F0075" w14:textId="77777777" w:rsidR="002B12A5" w:rsidRDefault="002B12A5">
      <w:pPr>
        <w:pStyle w:val="ConsPlusNormal"/>
        <w:jc w:val="both"/>
      </w:pPr>
    </w:p>
    <w:p w14:paraId="48916065" w14:textId="77777777" w:rsidR="002B12A5" w:rsidRDefault="002B12A5">
      <w:pPr>
        <w:pStyle w:val="ConsPlusNormal"/>
        <w:ind w:firstLine="540"/>
        <w:jc w:val="both"/>
      </w:pPr>
      <w:r>
        <w:t>В границах территории объекта культурного наследия регионального значения "Училище Кулибина (кинотеатр "Победа")", расположенного по адресу: г. Волгоград, ул. Коммунистическая, 1, запрещается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а также проведение земляных, строительных, мелиоративных и иных работ, за исключением:</w:t>
      </w:r>
    </w:p>
    <w:p w14:paraId="0C2BDF02" w14:textId="77777777" w:rsidR="002B12A5" w:rsidRDefault="002B12A5">
      <w:pPr>
        <w:pStyle w:val="ConsPlusNormal"/>
        <w:spacing w:before="220"/>
        <w:ind w:firstLine="540"/>
        <w:jc w:val="both"/>
      </w:pPr>
      <w:r>
        <w:t>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0A16FAD0" w14:textId="77777777" w:rsidR="002B12A5" w:rsidRDefault="002B12A5">
      <w:pPr>
        <w:pStyle w:val="ConsPlusNormal"/>
        <w:spacing w:before="220"/>
        <w:ind w:firstLine="540"/>
        <w:jc w:val="both"/>
      </w:pPr>
      <w:r>
        <w:t>сноса или демонтажа объектов капитального строительства, не являющихся объектами культурного наследия, осуществляемых на основании проектов проведения таких работ, содержащих разделы об обеспечении сохранности объекта культурного наследия, согласованные органом исполнительной власти Волгоградской области, уполномоченным в сфере сохранения, использования, популяризации и государственной охраны объектов культурного наследия (далее - согласованный раздел об обеспечении сохранности);</w:t>
      </w:r>
    </w:p>
    <w:p w14:paraId="2EA0C20C" w14:textId="77777777" w:rsidR="002B12A5" w:rsidRDefault="002B12A5">
      <w:pPr>
        <w:pStyle w:val="ConsPlusNormal"/>
        <w:spacing w:before="220"/>
        <w:ind w:firstLine="540"/>
        <w:jc w:val="both"/>
      </w:pPr>
      <w:r>
        <w:t>прокладки подземных сетей инженерно-технического обеспечения на основании проектов проведения таких работ, содержащих согласованные разделы об обеспечении сохранности;</w:t>
      </w:r>
    </w:p>
    <w:p w14:paraId="684120F2" w14:textId="77777777" w:rsidR="002B12A5" w:rsidRDefault="002B12A5">
      <w:pPr>
        <w:pStyle w:val="ConsPlusNormal"/>
        <w:spacing w:before="220"/>
        <w:ind w:firstLine="540"/>
        <w:jc w:val="both"/>
      </w:pPr>
      <w:r>
        <w:t>реконструкции объектов капитального строительства, не отнесенных к объектам культурного наследия (за исключением увеличения объемно-пространственных характеристик), и сетей инженерно-технического обеспечения, которая осуществляется на основании проектов проведения таких работ, содержащих согласованные разделы об обеспечении сохранности;</w:t>
      </w:r>
    </w:p>
    <w:p w14:paraId="2599D4E8" w14:textId="77777777" w:rsidR="002B12A5" w:rsidRDefault="002B12A5">
      <w:pPr>
        <w:pStyle w:val="ConsPlusNormal"/>
        <w:spacing w:before="220"/>
        <w:ind w:firstLine="540"/>
        <w:jc w:val="both"/>
      </w:pPr>
      <w:r>
        <w:t>ремонта сетей инженерно-технического обеспечения, объектов капитального строительства, не являющихся объектами культурного наследия;</w:t>
      </w:r>
    </w:p>
    <w:p w14:paraId="19899ED3" w14:textId="77777777" w:rsidR="002B12A5" w:rsidRDefault="002B12A5">
      <w:pPr>
        <w:pStyle w:val="ConsPlusNormal"/>
        <w:spacing w:before="220"/>
        <w:ind w:firstLine="540"/>
        <w:jc w:val="both"/>
      </w:pPr>
      <w:r>
        <w:t>работ по благоустройству территории объекта культурного наследия, которые осуществляются на основании проектов проведения таких работ, содержащих согласованные разделы об обеспечении сохранности;</w:t>
      </w:r>
    </w:p>
    <w:p w14:paraId="4F9ED6A0" w14:textId="77777777" w:rsidR="002B12A5" w:rsidRDefault="002B12A5">
      <w:pPr>
        <w:pStyle w:val="ConsPlusNormal"/>
        <w:spacing w:before="220"/>
        <w:ind w:firstLine="540"/>
        <w:jc w:val="both"/>
      </w:pPr>
      <w:r>
        <w:t>научно-исследовательских и изыскательских работ, в том числе по изучению культурного слоя;</w:t>
      </w:r>
    </w:p>
    <w:p w14:paraId="1B9C8707" w14:textId="77777777" w:rsidR="002B12A5" w:rsidRDefault="002B12A5">
      <w:pPr>
        <w:pStyle w:val="ConsPlusNormal"/>
        <w:spacing w:before="220"/>
        <w:ind w:firstLine="540"/>
        <w:jc w:val="both"/>
      </w:pPr>
      <w:r>
        <w:t>размещения наружной рекламы, содержащей исключительно информацию о проводимых на объектах культурного наследия и их территориях театрально-зрелищных, культурно-просветительных и зрелищно-развлекательных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 при условии, если такому упоминанию отведено не более чем десять процентов рекламной площади (пространства).</w:t>
      </w:r>
    </w:p>
    <w:p w14:paraId="5EF4D548" w14:textId="77777777" w:rsidR="002B12A5" w:rsidRDefault="002B12A5">
      <w:pPr>
        <w:pStyle w:val="ConsPlusNormal"/>
        <w:jc w:val="both"/>
      </w:pPr>
    </w:p>
    <w:p w14:paraId="71A71EC5" w14:textId="77777777" w:rsidR="002B12A5" w:rsidRDefault="002B12A5">
      <w:pPr>
        <w:pStyle w:val="ConsPlusNormal"/>
        <w:jc w:val="both"/>
      </w:pPr>
    </w:p>
    <w:p w14:paraId="33544FD2" w14:textId="77777777" w:rsidR="002B12A5" w:rsidRDefault="002B12A5">
      <w:pPr>
        <w:pStyle w:val="ConsPlusNormal"/>
        <w:pBdr>
          <w:top w:val="single" w:sz="6" w:space="0" w:color="auto"/>
        </w:pBdr>
        <w:spacing w:before="100" w:after="100"/>
        <w:jc w:val="both"/>
        <w:rPr>
          <w:sz w:val="2"/>
          <w:szCs w:val="2"/>
        </w:rPr>
      </w:pPr>
    </w:p>
    <w:p w14:paraId="448706A0" w14:textId="77777777" w:rsidR="00F67655" w:rsidRDefault="00F67655"/>
    <w:sectPr w:rsidR="00F67655" w:rsidSect="00EC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A5"/>
    <w:rsid w:val="002B12A5"/>
    <w:rsid w:val="006A7888"/>
    <w:rsid w:val="00EC19F0"/>
    <w:rsid w:val="00F6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9905"/>
  <w15:chartTrackingRefBased/>
  <w15:docId w15:val="{1711A2A3-D438-4B54-BC6C-39847743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12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12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5278A83742501EC6F38332E74EA20DA2D1FC3B834E64097B2DFCB41777A562F93668AF4DDAE606EAC340C901CD74F7BAE1ABFD824C38CC4CACB3EV9R9J" TargetMode="External"/><Relationship Id="rId3" Type="http://schemas.openxmlformats.org/officeDocument/2006/relationships/webSettings" Target="webSettings.xml"/><Relationship Id="rId7" Type="http://schemas.openxmlformats.org/officeDocument/2006/relationships/hyperlink" Target="consultantplus://offline/ref=1635278A83742501EC6F263E3818B525DB2E44CFB934E913CFE5D99C1E277C036FD360DFB799A3626AA7605CD4428E1F36E516BCCF38C28CVDR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35278A83742501EC6F263E3818B525D92645CCBB32E913CFE5D99C1E277C036FD360DBB099A8353FE86100911E9D1F3DE515BED3V3RAJ" TargetMode="External"/><Relationship Id="rId11" Type="http://schemas.openxmlformats.org/officeDocument/2006/relationships/theme" Target="theme/theme1.xml"/><Relationship Id="rId5" Type="http://schemas.openxmlformats.org/officeDocument/2006/relationships/hyperlink" Target="consultantplus://offline/ref=1635278A83742501EC6F263E3818B525D92645CCBB32E913CFE5D99C1E277C036FD360DCB09AA8353FE86100911E9D1F3DE515BED3V3RA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5599</Characters>
  <Application>Microsoft Office Word</Application>
  <DocSecurity>0</DocSecurity>
  <Lines>46</Lines>
  <Paragraphs>13</Paragraphs>
  <ScaleCrop>false</ScaleCrop>
  <Company>diakov.net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888</cp:lastModifiedBy>
  <cp:revision>3</cp:revision>
  <dcterms:created xsi:type="dcterms:W3CDTF">2020-12-19T09:17:00Z</dcterms:created>
  <dcterms:modified xsi:type="dcterms:W3CDTF">2024-04-09T15:59:00Z</dcterms:modified>
</cp:coreProperties>
</file>