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C0F6C" w:rsidRDefault="006C0F6C">
      <w:pPr>
        <w:pStyle w:val="ConsPlusTitlePage"/>
      </w:pPr>
      <w:r>
        <w:t xml:space="preserve">Документ предоставлен </w:t>
      </w:r>
      <w:hyperlink r:id="rId4" w:history="1">
        <w:r>
          <w:rPr>
            <w:color w:val="0000FF"/>
          </w:rPr>
          <w:t>КонсультантПлюс</w:t>
        </w:r>
      </w:hyperlink>
      <w:r>
        <w:br/>
      </w:r>
    </w:p>
    <w:p w:rsidR="006C0F6C" w:rsidRDefault="006C0F6C">
      <w:pPr>
        <w:pStyle w:val="ConsPlusNormal"/>
        <w:jc w:val="both"/>
        <w:outlineLvl w:val="0"/>
      </w:pPr>
    </w:p>
    <w:p w:rsidR="006C0F6C" w:rsidRDefault="006C0F6C">
      <w:pPr>
        <w:pStyle w:val="ConsPlusTitle"/>
        <w:jc w:val="center"/>
        <w:outlineLvl w:val="0"/>
      </w:pPr>
      <w:r>
        <w:t>КОМИТЕТ ГОСУДАРСТВЕННОЙ ОХРАНЫ ОБЪЕКТОВ</w:t>
      </w:r>
    </w:p>
    <w:p w:rsidR="006C0F6C" w:rsidRDefault="006C0F6C">
      <w:pPr>
        <w:pStyle w:val="ConsPlusTitle"/>
        <w:jc w:val="center"/>
      </w:pPr>
      <w:r>
        <w:t>КУЛЬТУРНОГО НАСЛЕДИЯ ВОЛГОГРАДСКОЙ ОБЛАСТИ</w:t>
      </w:r>
    </w:p>
    <w:p w:rsidR="006C0F6C" w:rsidRDefault="006C0F6C">
      <w:pPr>
        <w:pStyle w:val="ConsPlusTitle"/>
        <w:jc w:val="both"/>
      </w:pPr>
    </w:p>
    <w:p w:rsidR="006C0F6C" w:rsidRDefault="006C0F6C">
      <w:pPr>
        <w:pStyle w:val="ConsPlusTitle"/>
        <w:jc w:val="center"/>
      </w:pPr>
      <w:r>
        <w:t>ПРИКАЗ</w:t>
      </w:r>
    </w:p>
    <w:p w:rsidR="006C0F6C" w:rsidRDefault="006C0F6C">
      <w:pPr>
        <w:pStyle w:val="ConsPlusTitle"/>
        <w:jc w:val="center"/>
      </w:pPr>
      <w:r>
        <w:t>от 24 марта 2021 г. N 224</w:t>
      </w:r>
    </w:p>
    <w:p w:rsidR="006C0F6C" w:rsidRDefault="006C0F6C">
      <w:pPr>
        <w:pStyle w:val="ConsPlusTitle"/>
        <w:jc w:val="both"/>
      </w:pPr>
    </w:p>
    <w:p w:rsidR="006C0F6C" w:rsidRDefault="006C0F6C">
      <w:pPr>
        <w:pStyle w:val="ConsPlusTitle"/>
        <w:jc w:val="center"/>
      </w:pPr>
      <w:r>
        <w:t>ОБ УТВЕРЖДЕНИИ ПЕРЕЧНЯ КООРДИНАТ ХАРАКТЕРНЫХ ТОЧЕК ГРАНИЦ</w:t>
      </w:r>
    </w:p>
    <w:p w:rsidR="006C0F6C" w:rsidRDefault="006C0F6C">
      <w:pPr>
        <w:pStyle w:val="ConsPlusTitle"/>
        <w:jc w:val="center"/>
      </w:pPr>
      <w:r>
        <w:t>ТЕРРИТОРИИ ОБЪЕКТА КУЛЬТУРНОГО НАСЛЕДИЯ РЕГИОНАЛЬНОГО</w:t>
      </w:r>
    </w:p>
    <w:p w:rsidR="006C0F6C" w:rsidRDefault="006C0F6C">
      <w:pPr>
        <w:pStyle w:val="ConsPlusTitle"/>
        <w:jc w:val="center"/>
      </w:pPr>
      <w:r>
        <w:t>ЗНАЧЕНИЯ "МЕСТО, ГДЕ В ПЕРИОД СТАЛИНГРАДСКОЙ ОБОРОНЫ ЧАСТИ</w:t>
      </w:r>
    </w:p>
    <w:p w:rsidR="006C0F6C" w:rsidRDefault="006C0F6C">
      <w:pPr>
        <w:pStyle w:val="ConsPlusTitle"/>
        <w:jc w:val="center"/>
      </w:pPr>
      <w:r>
        <w:t>64-Й АРМИИ ГЕНЕРАЛА ШУМИЛОВА ВЕЛИ ОЖЕСТОЧЕННЫЕ БОИ</w:t>
      </w:r>
    </w:p>
    <w:p w:rsidR="006C0F6C" w:rsidRDefault="006C0F6C">
      <w:pPr>
        <w:pStyle w:val="ConsPlusTitle"/>
        <w:jc w:val="center"/>
      </w:pPr>
      <w:r>
        <w:t>С НЕМЕЦКО-ФАШИСТСКИМИ ОККУПАНТАМИ", РАСПОЛОЖЕННОГО</w:t>
      </w:r>
    </w:p>
    <w:p w:rsidR="006C0F6C" w:rsidRDefault="006C0F6C">
      <w:pPr>
        <w:pStyle w:val="ConsPlusTitle"/>
        <w:jc w:val="center"/>
      </w:pPr>
      <w:r>
        <w:t>ПО АДРЕСУ: ВОЛГОГРАДСКАЯ ОБЛАСТЬ, Г. ВОЛГОГРАД, СОВЕТСКИЙ</w:t>
      </w:r>
    </w:p>
    <w:p w:rsidR="006C0F6C" w:rsidRDefault="006C0F6C">
      <w:pPr>
        <w:pStyle w:val="ConsPlusTitle"/>
        <w:jc w:val="center"/>
      </w:pPr>
      <w:r>
        <w:t>РАЙОН, УЛ. КРЕПИЛЬНАЯ, 136</w:t>
      </w:r>
    </w:p>
    <w:p w:rsidR="006C0F6C" w:rsidRDefault="006C0F6C">
      <w:pPr>
        <w:pStyle w:val="ConsPlusNormal"/>
        <w:jc w:val="both"/>
      </w:pPr>
    </w:p>
    <w:p w:rsidR="006C0F6C" w:rsidRDefault="006C0F6C">
      <w:pPr>
        <w:pStyle w:val="ConsPlusNormal"/>
        <w:ind w:firstLine="540"/>
        <w:jc w:val="both"/>
      </w:pPr>
      <w:r>
        <w:t xml:space="preserve">В соответствии со </w:t>
      </w:r>
      <w:hyperlink r:id="rId5" w:history="1">
        <w:r>
          <w:rPr>
            <w:color w:val="0000FF"/>
          </w:rPr>
          <w:t>статьей 3.1</w:t>
        </w:r>
      </w:hyperlink>
      <w:r>
        <w:t xml:space="preserve">, </w:t>
      </w:r>
      <w:hyperlink r:id="rId6" w:history="1">
        <w:r>
          <w:rPr>
            <w:color w:val="0000FF"/>
          </w:rPr>
          <w:t>пунктом 2 статьи 33</w:t>
        </w:r>
      </w:hyperlink>
      <w:r>
        <w:t xml:space="preserve"> Федерального закона от 25 июня 2002 г. N 73-ФЗ "Об объектах культурного наследия (памятниках истории и культуры) народов Российской Федерации", </w:t>
      </w:r>
      <w:hyperlink r:id="rId7" w:history="1">
        <w:r>
          <w:rPr>
            <w:color w:val="0000FF"/>
          </w:rPr>
          <w:t>пунктом 8</w:t>
        </w:r>
      </w:hyperlink>
      <w:r>
        <w:t xml:space="preserve"> требований к составлению проектов границ территорий объектов культурного наследия, утвержденных приказом Министерства культуры Российской Федерации от 04 июня 2015 г. N 1745, </w:t>
      </w:r>
      <w:hyperlink r:id="rId8" w:history="1">
        <w:r>
          <w:rPr>
            <w:color w:val="0000FF"/>
          </w:rPr>
          <w:t>Положением</w:t>
        </w:r>
      </w:hyperlink>
      <w:r>
        <w:t xml:space="preserve"> о комитете государственной охраны объектов культурного наследия Волгоградской области, утвержденным постановлением Администрации Волгоградской области от 19 декабря 2016 г. N 697-п, приказываю:</w:t>
      </w:r>
    </w:p>
    <w:p w:rsidR="006C0F6C" w:rsidRDefault="006C0F6C">
      <w:pPr>
        <w:pStyle w:val="ConsPlusNormal"/>
        <w:spacing w:before="220"/>
        <w:ind w:firstLine="540"/>
        <w:jc w:val="both"/>
      </w:pPr>
      <w:r>
        <w:t xml:space="preserve">1. Утвердить перечень координат характерных точек границ территории объекта культурного наследия регионального значения "Место, где в период Сталинградской обороны части 64-й армии генерала Шумилова вели ожесточенные бои с немецко-фашистскими оккупантами", расположенного по адресу: Волгоградская область, г. Волгоград, Советский район, </w:t>
      </w:r>
      <w:bookmarkStart w:id="0" w:name="_GoBack"/>
      <w:r>
        <w:t>ул. Крепильная, 136</w:t>
      </w:r>
      <w:bookmarkEnd w:id="0"/>
      <w:r>
        <w:t xml:space="preserve">", утвержденных </w:t>
      </w:r>
      <w:hyperlink r:id="rId9" w:history="1">
        <w:r>
          <w:rPr>
            <w:color w:val="0000FF"/>
          </w:rPr>
          <w:t>приказом</w:t>
        </w:r>
      </w:hyperlink>
      <w:r>
        <w:t xml:space="preserve"> министерства культуры Волгоградской области от 26 ноября 2012 г. N 01-20/435 "Об установлении границы территории объекта культурного наследия регионального значения "Место, где в период Сталинградской обороны части 64-й армии генерала Шумилова вели ожесточенные бои с немецко-фашистскими оккупантами", 1942 - 1943 гг. и установлении правовых режимов использования территории", согласно </w:t>
      </w:r>
      <w:hyperlink w:anchor="P27" w:history="1">
        <w:r>
          <w:rPr>
            <w:color w:val="0000FF"/>
          </w:rPr>
          <w:t>приложению</w:t>
        </w:r>
      </w:hyperlink>
      <w:r>
        <w:t xml:space="preserve"> к настоящему приказу.</w:t>
      </w:r>
    </w:p>
    <w:p w:rsidR="006C0F6C" w:rsidRDefault="006C0F6C">
      <w:pPr>
        <w:pStyle w:val="ConsPlusNormal"/>
        <w:spacing w:before="220"/>
        <w:ind w:firstLine="540"/>
        <w:jc w:val="both"/>
      </w:pPr>
      <w:r>
        <w:t xml:space="preserve">2. Направить копию настоящего приказа в комитет культуры Волгоградской области в целях признания </w:t>
      </w:r>
      <w:hyperlink r:id="rId10" w:history="1">
        <w:r>
          <w:rPr>
            <w:color w:val="0000FF"/>
          </w:rPr>
          <w:t>приложения 1</w:t>
        </w:r>
      </w:hyperlink>
      <w:r>
        <w:t xml:space="preserve"> к приказу министерства культуры Волгоградской области от 26 ноября 2012 г. N 01-20/435 "Об установлении границы территории объекта культурного наследия регионального значения "Место, где в период Сталинградской обороны части 64-й армии генерала Шумилова вели ожесточенные бои с немецко-фашистскими оккупантами", 1942 - 1943 гг. и установлении правовых режимов использования территории" утратившим силу.</w:t>
      </w:r>
    </w:p>
    <w:p w:rsidR="006C0F6C" w:rsidRDefault="006C0F6C">
      <w:pPr>
        <w:pStyle w:val="ConsPlusNormal"/>
        <w:spacing w:before="220"/>
        <w:ind w:firstLine="540"/>
        <w:jc w:val="both"/>
      </w:pPr>
      <w:r>
        <w:t>3. Настоящий приказ вступает в силу со дня его подписания и подлежит официальному опубликованию.</w:t>
      </w:r>
    </w:p>
    <w:p w:rsidR="006C0F6C" w:rsidRDefault="006C0F6C">
      <w:pPr>
        <w:pStyle w:val="ConsPlusNormal"/>
        <w:jc w:val="both"/>
      </w:pPr>
    </w:p>
    <w:p w:rsidR="006C0F6C" w:rsidRDefault="006C0F6C">
      <w:pPr>
        <w:pStyle w:val="ConsPlusNormal"/>
        <w:jc w:val="right"/>
      </w:pPr>
      <w:r>
        <w:t>Председатель комитета</w:t>
      </w:r>
    </w:p>
    <w:p w:rsidR="006C0F6C" w:rsidRDefault="006C0F6C">
      <w:pPr>
        <w:pStyle w:val="ConsPlusNormal"/>
        <w:jc w:val="right"/>
      </w:pPr>
      <w:r>
        <w:t>А.Ю.БАЖЕНОВ</w:t>
      </w:r>
    </w:p>
    <w:p w:rsidR="006C0F6C" w:rsidRDefault="006C0F6C">
      <w:pPr>
        <w:pStyle w:val="ConsPlusNormal"/>
        <w:jc w:val="both"/>
      </w:pPr>
    </w:p>
    <w:p w:rsidR="006C0F6C" w:rsidRDefault="006C0F6C">
      <w:pPr>
        <w:pStyle w:val="ConsPlusNormal"/>
        <w:jc w:val="both"/>
      </w:pPr>
    </w:p>
    <w:p w:rsidR="006C0F6C" w:rsidRDefault="006C0F6C">
      <w:pPr>
        <w:pStyle w:val="ConsPlusNormal"/>
        <w:jc w:val="both"/>
      </w:pPr>
    </w:p>
    <w:p w:rsidR="006C0F6C" w:rsidRDefault="006C0F6C">
      <w:pPr>
        <w:pStyle w:val="ConsPlusNormal"/>
        <w:jc w:val="both"/>
      </w:pPr>
    </w:p>
    <w:p w:rsidR="006C0F6C" w:rsidRDefault="006C0F6C">
      <w:pPr>
        <w:pStyle w:val="ConsPlusNormal"/>
        <w:jc w:val="both"/>
      </w:pPr>
    </w:p>
    <w:p w:rsidR="006C0F6C" w:rsidRDefault="006C0F6C">
      <w:pPr>
        <w:pStyle w:val="ConsPlusNormal"/>
        <w:jc w:val="right"/>
        <w:outlineLvl w:val="0"/>
      </w:pPr>
      <w:bookmarkStart w:id="1" w:name="P27"/>
      <w:bookmarkEnd w:id="1"/>
      <w:r>
        <w:t>Приложение</w:t>
      </w:r>
    </w:p>
    <w:p w:rsidR="006C0F6C" w:rsidRDefault="006C0F6C">
      <w:pPr>
        <w:pStyle w:val="ConsPlusNormal"/>
        <w:jc w:val="right"/>
      </w:pPr>
      <w:r>
        <w:t>к приказу</w:t>
      </w:r>
    </w:p>
    <w:p w:rsidR="006C0F6C" w:rsidRDefault="006C0F6C">
      <w:pPr>
        <w:pStyle w:val="ConsPlusNormal"/>
        <w:jc w:val="right"/>
      </w:pPr>
      <w:r>
        <w:lastRenderedPageBreak/>
        <w:t>комитета</w:t>
      </w:r>
    </w:p>
    <w:p w:rsidR="006C0F6C" w:rsidRDefault="006C0F6C">
      <w:pPr>
        <w:pStyle w:val="ConsPlusNormal"/>
        <w:jc w:val="right"/>
      </w:pPr>
      <w:r>
        <w:t>государственной охраны</w:t>
      </w:r>
    </w:p>
    <w:p w:rsidR="006C0F6C" w:rsidRDefault="006C0F6C">
      <w:pPr>
        <w:pStyle w:val="ConsPlusNormal"/>
        <w:jc w:val="right"/>
      </w:pPr>
      <w:r>
        <w:t>объектов культурного наследия</w:t>
      </w:r>
    </w:p>
    <w:p w:rsidR="006C0F6C" w:rsidRDefault="006C0F6C">
      <w:pPr>
        <w:pStyle w:val="ConsPlusNormal"/>
        <w:jc w:val="right"/>
      </w:pPr>
      <w:r>
        <w:t>Волгоградской области</w:t>
      </w:r>
    </w:p>
    <w:p w:rsidR="006C0F6C" w:rsidRDefault="006C0F6C">
      <w:pPr>
        <w:pStyle w:val="ConsPlusNormal"/>
        <w:jc w:val="right"/>
      </w:pPr>
      <w:r>
        <w:t>от 24.03.2021 N 224</w:t>
      </w:r>
    </w:p>
    <w:p w:rsidR="006C0F6C" w:rsidRDefault="006C0F6C">
      <w:pPr>
        <w:pStyle w:val="ConsPlusNormal"/>
        <w:jc w:val="both"/>
      </w:pPr>
    </w:p>
    <w:p w:rsidR="006C0F6C" w:rsidRDefault="006C0F6C">
      <w:pPr>
        <w:pStyle w:val="ConsPlusTitle"/>
        <w:jc w:val="center"/>
        <w:outlineLvl w:val="1"/>
      </w:pPr>
      <w:r>
        <w:t>Перечень</w:t>
      </w:r>
    </w:p>
    <w:p w:rsidR="006C0F6C" w:rsidRDefault="006C0F6C">
      <w:pPr>
        <w:pStyle w:val="ConsPlusTitle"/>
        <w:jc w:val="center"/>
      </w:pPr>
      <w:r>
        <w:t>координат характерных точек границ территории объекта</w:t>
      </w:r>
    </w:p>
    <w:p w:rsidR="006C0F6C" w:rsidRDefault="006C0F6C">
      <w:pPr>
        <w:pStyle w:val="ConsPlusTitle"/>
        <w:jc w:val="center"/>
      </w:pPr>
      <w:r>
        <w:t>культурного наследия регионального значения "Место, где</w:t>
      </w:r>
    </w:p>
    <w:p w:rsidR="006C0F6C" w:rsidRDefault="006C0F6C">
      <w:pPr>
        <w:pStyle w:val="ConsPlusTitle"/>
        <w:jc w:val="center"/>
      </w:pPr>
      <w:r>
        <w:t>в период Сталинградской обороны части 64-й армии генерала</w:t>
      </w:r>
    </w:p>
    <w:p w:rsidR="006C0F6C" w:rsidRDefault="006C0F6C">
      <w:pPr>
        <w:pStyle w:val="ConsPlusTitle"/>
        <w:jc w:val="center"/>
      </w:pPr>
      <w:r>
        <w:t>Шумилова вели ожесточенные бои с немецко-фашистскими</w:t>
      </w:r>
    </w:p>
    <w:p w:rsidR="006C0F6C" w:rsidRDefault="006C0F6C">
      <w:pPr>
        <w:pStyle w:val="ConsPlusTitle"/>
        <w:jc w:val="center"/>
      </w:pPr>
      <w:r>
        <w:t>оккупантами", расположенного по адресу: Волгоградская</w:t>
      </w:r>
    </w:p>
    <w:p w:rsidR="006C0F6C" w:rsidRDefault="006C0F6C">
      <w:pPr>
        <w:pStyle w:val="ConsPlusTitle"/>
        <w:jc w:val="center"/>
      </w:pPr>
      <w:r>
        <w:t>область, г. Волгоград, Советский район, ул. Крепильная, 136</w:t>
      </w:r>
    </w:p>
    <w:p w:rsidR="006C0F6C" w:rsidRDefault="006C0F6C">
      <w:pPr>
        <w:pStyle w:val="ConsPlusNormal"/>
        <w:jc w:val="both"/>
      </w:pPr>
    </w:p>
    <w:p w:rsidR="006C0F6C" w:rsidRDefault="006C0F6C">
      <w:pPr>
        <w:pStyle w:val="ConsPlusTitle"/>
        <w:jc w:val="center"/>
        <w:outlineLvl w:val="2"/>
      </w:pPr>
      <w:r>
        <w:t>Система координат: местная городская СК</w:t>
      </w:r>
    </w:p>
    <w:p w:rsidR="006C0F6C" w:rsidRDefault="006C0F6C">
      <w:pPr>
        <w:pStyle w:val="ConsPlusNormal"/>
        <w:jc w:val="both"/>
      </w:pP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268"/>
        <w:gridCol w:w="1701"/>
        <w:gridCol w:w="2551"/>
        <w:gridCol w:w="2551"/>
      </w:tblGrid>
      <w:tr w:rsidR="006C0F6C">
        <w:tc>
          <w:tcPr>
            <w:tcW w:w="2268" w:type="dxa"/>
          </w:tcPr>
          <w:p w:rsidR="006C0F6C" w:rsidRDefault="006C0F6C">
            <w:pPr>
              <w:pStyle w:val="ConsPlusNormal"/>
              <w:jc w:val="center"/>
            </w:pPr>
            <w:r>
              <w:t>Номер характерной точки</w:t>
            </w:r>
          </w:p>
        </w:tc>
        <w:tc>
          <w:tcPr>
            <w:tcW w:w="1701" w:type="dxa"/>
          </w:tcPr>
          <w:p w:rsidR="006C0F6C" w:rsidRDefault="006C0F6C">
            <w:pPr>
              <w:pStyle w:val="ConsPlusNormal"/>
              <w:jc w:val="center"/>
            </w:pPr>
            <w:r>
              <w:t>Длина линии (м)</w:t>
            </w:r>
          </w:p>
        </w:tc>
        <w:tc>
          <w:tcPr>
            <w:tcW w:w="2551" w:type="dxa"/>
          </w:tcPr>
          <w:p w:rsidR="006C0F6C" w:rsidRDefault="006C0F6C">
            <w:pPr>
              <w:pStyle w:val="ConsPlusNormal"/>
              <w:jc w:val="center"/>
            </w:pPr>
            <w:r>
              <w:t>Х</w:t>
            </w:r>
          </w:p>
        </w:tc>
        <w:tc>
          <w:tcPr>
            <w:tcW w:w="2551" w:type="dxa"/>
          </w:tcPr>
          <w:p w:rsidR="006C0F6C" w:rsidRDefault="006C0F6C">
            <w:pPr>
              <w:pStyle w:val="ConsPlusNormal"/>
              <w:jc w:val="center"/>
            </w:pPr>
            <w:r>
              <w:t>У</w:t>
            </w:r>
          </w:p>
        </w:tc>
      </w:tr>
      <w:tr w:rsidR="006C0F6C">
        <w:tc>
          <w:tcPr>
            <w:tcW w:w="2268" w:type="dxa"/>
          </w:tcPr>
          <w:p w:rsidR="006C0F6C" w:rsidRDefault="006C0F6C">
            <w:pPr>
              <w:pStyle w:val="ConsPlusNormal"/>
              <w:jc w:val="center"/>
            </w:pPr>
            <w:r>
              <w:t>н1</w:t>
            </w:r>
          </w:p>
        </w:tc>
        <w:tc>
          <w:tcPr>
            <w:tcW w:w="1701" w:type="dxa"/>
          </w:tcPr>
          <w:p w:rsidR="006C0F6C" w:rsidRDefault="006C0F6C">
            <w:pPr>
              <w:pStyle w:val="ConsPlusNormal"/>
            </w:pPr>
          </w:p>
        </w:tc>
        <w:tc>
          <w:tcPr>
            <w:tcW w:w="2551" w:type="dxa"/>
          </w:tcPr>
          <w:p w:rsidR="006C0F6C" w:rsidRDefault="006C0F6C">
            <w:pPr>
              <w:pStyle w:val="ConsPlusNormal"/>
              <w:jc w:val="center"/>
            </w:pPr>
            <w:r>
              <w:t>-5977,48</w:t>
            </w:r>
          </w:p>
        </w:tc>
        <w:tc>
          <w:tcPr>
            <w:tcW w:w="2551" w:type="dxa"/>
          </w:tcPr>
          <w:p w:rsidR="006C0F6C" w:rsidRDefault="006C0F6C">
            <w:pPr>
              <w:pStyle w:val="ConsPlusNormal"/>
              <w:jc w:val="center"/>
            </w:pPr>
            <w:r>
              <w:t>-4266,9</w:t>
            </w:r>
          </w:p>
        </w:tc>
      </w:tr>
      <w:tr w:rsidR="006C0F6C">
        <w:tc>
          <w:tcPr>
            <w:tcW w:w="2268" w:type="dxa"/>
          </w:tcPr>
          <w:p w:rsidR="006C0F6C" w:rsidRDefault="006C0F6C">
            <w:pPr>
              <w:pStyle w:val="ConsPlusNormal"/>
            </w:pPr>
          </w:p>
        </w:tc>
        <w:tc>
          <w:tcPr>
            <w:tcW w:w="1701" w:type="dxa"/>
          </w:tcPr>
          <w:p w:rsidR="006C0F6C" w:rsidRDefault="006C0F6C">
            <w:pPr>
              <w:pStyle w:val="ConsPlusNormal"/>
              <w:jc w:val="center"/>
            </w:pPr>
            <w:r>
              <w:t>70</w:t>
            </w:r>
          </w:p>
        </w:tc>
        <w:tc>
          <w:tcPr>
            <w:tcW w:w="2551" w:type="dxa"/>
          </w:tcPr>
          <w:p w:rsidR="006C0F6C" w:rsidRDefault="006C0F6C">
            <w:pPr>
              <w:pStyle w:val="ConsPlusNormal"/>
            </w:pPr>
          </w:p>
        </w:tc>
        <w:tc>
          <w:tcPr>
            <w:tcW w:w="2551" w:type="dxa"/>
          </w:tcPr>
          <w:p w:rsidR="006C0F6C" w:rsidRDefault="006C0F6C">
            <w:pPr>
              <w:pStyle w:val="ConsPlusNormal"/>
            </w:pPr>
          </w:p>
        </w:tc>
      </w:tr>
      <w:tr w:rsidR="006C0F6C">
        <w:tc>
          <w:tcPr>
            <w:tcW w:w="2268" w:type="dxa"/>
          </w:tcPr>
          <w:p w:rsidR="006C0F6C" w:rsidRDefault="006C0F6C">
            <w:pPr>
              <w:pStyle w:val="ConsPlusNormal"/>
              <w:jc w:val="center"/>
            </w:pPr>
            <w:r>
              <w:t>н2</w:t>
            </w:r>
          </w:p>
        </w:tc>
        <w:tc>
          <w:tcPr>
            <w:tcW w:w="1701" w:type="dxa"/>
          </w:tcPr>
          <w:p w:rsidR="006C0F6C" w:rsidRDefault="006C0F6C">
            <w:pPr>
              <w:pStyle w:val="ConsPlusNormal"/>
            </w:pPr>
          </w:p>
        </w:tc>
        <w:tc>
          <w:tcPr>
            <w:tcW w:w="2551" w:type="dxa"/>
          </w:tcPr>
          <w:p w:rsidR="006C0F6C" w:rsidRDefault="006C0F6C">
            <w:pPr>
              <w:pStyle w:val="ConsPlusNormal"/>
              <w:jc w:val="center"/>
            </w:pPr>
            <w:r>
              <w:t>-6000,72</w:t>
            </w:r>
          </w:p>
        </w:tc>
        <w:tc>
          <w:tcPr>
            <w:tcW w:w="2551" w:type="dxa"/>
          </w:tcPr>
          <w:p w:rsidR="006C0F6C" w:rsidRDefault="006C0F6C">
            <w:pPr>
              <w:pStyle w:val="ConsPlusNormal"/>
              <w:jc w:val="center"/>
            </w:pPr>
            <w:r>
              <w:t>-4200,87</w:t>
            </w:r>
          </w:p>
        </w:tc>
      </w:tr>
      <w:tr w:rsidR="006C0F6C">
        <w:tc>
          <w:tcPr>
            <w:tcW w:w="2268" w:type="dxa"/>
          </w:tcPr>
          <w:p w:rsidR="006C0F6C" w:rsidRDefault="006C0F6C">
            <w:pPr>
              <w:pStyle w:val="ConsPlusNormal"/>
            </w:pPr>
          </w:p>
        </w:tc>
        <w:tc>
          <w:tcPr>
            <w:tcW w:w="1701" w:type="dxa"/>
          </w:tcPr>
          <w:p w:rsidR="006C0F6C" w:rsidRDefault="006C0F6C">
            <w:pPr>
              <w:pStyle w:val="ConsPlusNormal"/>
              <w:jc w:val="center"/>
            </w:pPr>
            <w:r>
              <w:t>260</w:t>
            </w:r>
          </w:p>
        </w:tc>
        <w:tc>
          <w:tcPr>
            <w:tcW w:w="2551" w:type="dxa"/>
          </w:tcPr>
          <w:p w:rsidR="006C0F6C" w:rsidRDefault="006C0F6C">
            <w:pPr>
              <w:pStyle w:val="ConsPlusNormal"/>
            </w:pPr>
          </w:p>
        </w:tc>
        <w:tc>
          <w:tcPr>
            <w:tcW w:w="2551" w:type="dxa"/>
          </w:tcPr>
          <w:p w:rsidR="006C0F6C" w:rsidRDefault="006C0F6C">
            <w:pPr>
              <w:pStyle w:val="ConsPlusNormal"/>
            </w:pPr>
          </w:p>
        </w:tc>
      </w:tr>
      <w:tr w:rsidR="006C0F6C">
        <w:tc>
          <w:tcPr>
            <w:tcW w:w="2268" w:type="dxa"/>
          </w:tcPr>
          <w:p w:rsidR="006C0F6C" w:rsidRDefault="006C0F6C">
            <w:pPr>
              <w:pStyle w:val="ConsPlusNormal"/>
              <w:jc w:val="center"/>
            </w:pPr>
            <w:r>
              <w:t>н3</w:t>
            </w:r>
          </w:p>
        </w:tc>
        <w:tc>
          <w:tcPr>
            <w:tcW w:w="1701" w:type="dxa"/>
          </w:tcPr>
          <w:p w:rsidR="006C0F6C" w:rsidRDefault="006C0F6C">
            <w:pPr>
              <w:pStyle w:val="ConsPlusNormal"/>
            </w:pPr>
          </w:p>
        </w:tc>
        <w:tc>
          <w:tcPr>
            <w:tcW w:w="2551" w:type="dxa"/>
          </w:tcPr>
          <w:p w:rsidR="006C0F6C" w:rsidRDefault="006C0F6C">
            <w:pPr>
              <w:pStyle w:val="ConsPlusNormal"/>
              <w:jc w:val="center"/>
            </w:pPr>
            <w:r>
              <w:t>-6245,97</w:t>
            </w:r>
          </w:p>
        </w:tc>
        <w:tc>
          <w:tcPr>
            <w:tcW w:w="2551" w:type="dxa"/>
          </w:tcPr>
          <w:p w:rsidR="006C0F6C" w:rsidRDefault="006C0F6C">
            <w:pPr>
              <w:pStyle w:val="ConsPlusNormal"/>
              <w:jc w:val="center"/>
            </w:pPr>
            <w:r>
              <w:t>-4287,21</w:t>
            </w:r>
          </w:p>
        </w:tc>
      </w:tr>
      <w:tr w:rsidR="006C0F6C">
        <w:tc>
          <w:tcPr>
            <w:tcW w:w="2268" w:type="dxa"/>
          </w:tcPr>
          <w:p w:rsidR="006C0F6C" w:rsidRDefault="006C0F6C">
            <w:pPr>
              <w:pStyle w:val="ConsPlusNormal"/>
            </w:pPr>
          </w:p>
        </w:tc>
        <w:tc>
          <w:tcPr>
            <w:tcW w:w="1701" w:type="dxa"/>
          </w:tcPr>
          <w:p w:rsidR="006C0F6C" w:rsidRDefault="006C0F6C">
            <w:pPr>
              <w:pStyle w:val="ConsPlusNormal"/>
              <w:jc w:val="center"/>
            </w:pPr>
            <w:r>
              <w:t>70</w:t>
            </w:r>
          </w:p>
        </w:tc>
        <w:tc>
          <w:tcPr>
            <w:tcW w:w="2551" w:type="dxa"/>
          </w:tcPr>
          <w:p w:rsidR="006C0F6C" w:rsidRDefault="006C0F6C">
            <w:pPr>
              <w:pStyle w:val="ConsPlusNormal"/>
            </w:pPr>
          </w:p>
        </w:tc>
        <w:tc>
          <w:tcPr>
            <w:tcW w:w="2551" w:type="dxa"/>
          </w:tcPr>
          <w:p w:rsidR="006C0F6C" w:rsidRDefault="006C0F6C">
            <w:pPr>
              <w:pStyle w:val="ConsPlusNormal"/>
            </w:pPr>
          </w:p>
        </w:tc>
      </w:tr>
      <w:tr w:rsidR="006C0F6C">
        <w:tc>
          <w:tcPr>
            <w:tcW w:w="2268" w:type="dxa"/>
          </w:tcPr>
          <w:p w:rsidR="006C0F6C" w:rsidRDefault="006C0F6C">
            <w:pPr>
              <w:pStyle w:val="ConsPlusNormal"/>
              <w:jc w:val="center"/>
            </w:pPr>
            <w:r>
              <w:t>н4</w:t>
            </w:r>
          </w:p>
        </w:tc>
        <w:tc>
          <w:tcPr>
            <w:tcW w:w="1701" w:type="dxa"/>
          </w:tcPr>
          <w:p w:rsidR="006C0F6C" w:rsidRDefault="006C0F6C">
            <w:pPr>
              <w:pStyle w:val="ConsPlusNormal"/>
            </w:pPr>
          </w:p>
        </w:tc>
        <w:tc>
          <w:tcPr>
            <w:tcW w:w="2551" w:type="dxa"/>
          </w:tcPr>
          <w:p w:rsidR="006C0F6C" w:rsidRDefault="006C0F6C">
            <w:pPr>
              <w:pStyle w:val="ConsPlusNormal"/>
              <w:jc w:val="center"/>
            </w:pPr>
            <w:r>
              <w:t>-6222,73</w:t>
            </w:r>
          </w:p>
        </w:tc>
        <w:tc>
          <w:tcPr>
            <w:tcW w:w="2551" w:type="dxa"/>
          </w:tcPr>
          <w:p w:rsidR="006C0F6C" w:rsidRDefault="006C0F6C">
            <w:pPr>
              <w:pStyle w:val="ConsPlusNormal"/>
              <w:jc w:val="center"/>
            </w:pPr>
            <w:r>
              <w:t>-4353,24</w:t>
            </w:r>
          </w:p>
        </w:tc>
      </w:tr>
      <w:tr w:rsidR="006C0F6C">
        <w:tc>
          <w:tcPr>
            <w:tcW w:w="2268" w:type="dxa"/>
          </w:tcPr>
          <w:p w:rsidR="006C0F6C" w:rsidRDefault="006C0F6C">
            <w:pPr>
              <w:pStyle w:val="ConsPlusNormal"/>
            </w:pPr>
          </w:p>
        </w:tc>
        <w:tc>
          <w:tcPr>
            <w:tcW w:w="1701" w:type="dxa"/>
          </w:tcPr>
          <w:p w:rsidR="006C0F6C" w:rsidRDefault="006C0F6C">
            <w:pPr>
              <w:pStyle w:val="ConsPlusNormal"/>
              <w:jc w:val="center"/>
            </w:pPr>
            <w:r>
              <w:t>260</w:t>
            </w:r>
          </w:p>
        </w:tc>
        <w:tc>
          <w:tcPr>
            <w:tcW w:w="2551" w:type="dxa"/>
          </w:tcPr>
          <w:p w:rsidR="006C0F6C" w:rsidRDefault="006C0F6C">
            <w:pPr>
              <w:pStyle w:val="ConsPlusNormal"/>
            </w:pPr>
          </w:p>
        </w:tc>
        <w:tc>
          <w:tcPr>
            <w:tcW w:w="2551" w:type="dxa"/>
          </w:tcPr>
          <w:p w:rsidR="006C0F6C" w:rsidRDefault="006C0F6C">
            <w:pPr>
              <w:pStyle w:val="ConsPlusNormal"/>
            </w:pPr>
          </w:p>
        </w:tc>
      </w:tr>
      <w:tr w:rsidR="006C0F6C">
        <w:tc>
          <w:tcPr>
            <w:tcW w:w="2268" w:type="dxa"/>
          </w:tcPr>
          <w:p w:rsidR="006C0F6C" w:rsidRDefault="006C0F6C">
            <w:pPr>
              <w:pStyle w:val="ConsPlusNormal"/>
              <w:jc w:val="center"/>
            </w:pPr>
            <w:r>
              <w:t>н1</w:t>
            </w:r>
          </w:p>
        </w:tc>
        <w:tc>
          <w:tcPr>
            <w:tcW w:w="1701" w:type="dxa"/>
          </w:tcPr>
          <w:p w:rsidR="006C0F6C" w:rsidRDefault="006C0F6C">
            <w:pPr>
              <w:pStyle w:val="ConsPlusNormal"/>
            </w:pPr>
          </w:p>
        </w:tc>
        <w:tc>
          <w:tcPr>
            <w:tcW w:w="2551" w:type="dxa"/>
          </w:tcPr>
          <w:p w:rsidR="006C0F6C" w:rsidRDefault="006C0F6C">
            <w:pPr>
              <w:pStyle w:val="ConsPlusNormal"/>
              <w:jc w:val="center"/>
            </w:pPr>
            <w:r>
              <w:t>-5977,48</w:t>
            </w:r>
          </w:p>
        </w:tc>
        <w:tc>
          <w:tcPr>
            <w:tcW w:w="2551" w:type="dxa"/>
          </w:tcPr>
          <w:p w:rsidR="006C0F6C" w:rsidRDefault="006C0F6C">
            <w:pPr>
              <w:pStyle w:val="ConsPlusNormal"/>
              <w:jc w:val="center"/>
            </w:pPr>
            <w:r>
              <w:t>-4266,9</w:t>
            </w:r>
          </w:p>
        </w:tc>
      </w:tr>
    </w:tbl>
    <w:p w:rsidR="006C0F6C" w:rsidRDefault="006C0F6C">
      <w:pPr>
        <w:pStyle w:val="ConsPlusNormal"/>
        <w:jc w:val="both"/>
      </w:pPr>
    </w:p>
    <w:p w:rsidR="006C0F6C" w:rsidRDefault="006C0F6C">
      <w:pPr>
        <w:pStyle w:val="ConsPlusTitle"/>
        <w:jc w:val="center"/>
        <w:outlineLvl w:val="2"/>
      </w:pPr>
      <w:r>
        <w:t>Система координат: WGS 84</w:t>
      </w:r>
    </w:p>
    <w:p w:rsidR="006C0F6C" w:rsidRDefault="006C0F6C">
      <w:pPr>
        <w:pStyle w:val="ConsPlusNormal"/>
        <w:jc w:val="both"/>
      </w:pP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381"/>
        <w:gridCol w:w="3345"/>
        <w:gridCol w:w="3345"/>
      </w:tblGrid>
      <w:tr w:rsidR="006C0F6C">
        <w:tc>
          <w:tcPr>
            <w:tcW w:w="2381" w:type="dxa"/>
          </w:tcPr>
          <w:p w:rsidR="006C0F6C" w:rsidRDefault="006C0F6C">
            <w:pPr>
              <w:pStyle w:val="ConsPlusNormal"/>
              <w:jc w:val="center"/>
            </w:pPr>
            <w:r>
              <w:t>Номер характерной точки</w:t>
            </w:r>
          </w:p>
        </w:tc>
        <w:tc>
          <w:tcPr>
            <w:tcW w:w="3345" w:type="dxa"/>
          </w:tcPr>
          <w:p w:rsidR="006C0F6C" w:rsidRDefault="006C0F6C">
            <w:pPr>
              <w:pStyle w:val="ConsPlusNormal"/>
              <w:jc w:val="center"/>
            </w:pPr>
            <w:r>
              <w:t>N</w:t>
            </w:r>
          </w:p>
        </w:tc>
        <w:tc>
          <w:tcPr>
            <w:tcW w:w="3345" w:type="dxa"/>
          </w:tcPr>
          <w:p w:rsidR="006C0F6C" w:rsidRDefault="006C0F6C">
            <w:pPr>
              <w:pStyle w:val="ConsPlusNormal"/>
              <w:jc w:val="center"/>
            </w:pPr>
            <w:r>
              <w:t>E</w:t>
            </w:r>
          </w:p>
        </w:tc>
      </w:tr>
      <w:tr w:rsidR="006C0F6C">
        <w:tc>
          <w:tcPr>
            <w:tcW w:w="2381" w:type="dxa"/>
          </w:tcPr>
          <w:p w:rsidR="006C0F6C" w:rsidRDefault="006C0F6C">
            <w:pPr>
              <w:pStyle w:val="ConsPlusNormal"/>
              <w:jc w:val="center"/>
            </w:pPr>
            <w:r>
              <w:t>н1</w:t>
            </w:r>
          </w:p>
        </w:tc>
        <w:tc>
          <w:tcPr>
            <w:tcW w:w="3345" w:type="dxa"/>
          </w:tcPr>
          <w:p w:rsidR="006C0F6C" w:rsidRDefault="006C0F6C">
            <w:pPr>
              <w:pStyle w:val="ConsPlusNormal"/>
              <w:jc w:val="center"/>
            </w:pPr>
            <w:r>
              <w:t>48°39'21.77" С</w:t>
            </w:r>
          </w:p>
        </w:tc>
        <w:tc>
          <w:tcPr>
            <w:tcW w:w="3345" w:type="dxa"/>
          </w:tcPr>
          <w:p w:rsidR="006C0F6C" w:rsidRDefault="006C0F6C">
            <w:pPr>
              <w:pStyle w:val="ConsPlusNormal"/>
              <w:jc w:val="center"/>
            </w:pPr>
            <w:r>
              <w:t>44°27'08.99" В</w:t>
            </w:r>
          </w:p>
        </w:tc>
      </w:tr>
      <w:tr w:rsidR="006C0F6C">
        <w:tc>
          <w:tcPr>
            <w:tcW w:w="2381" w:type="dxa"/>
          </w:tcPr>
          <w:p w:rsidR="006C0F6C" w:rsidRDefault="006C0F6C">
            <w:pPr>
              <w:pStyle w:val="ConsPlusNormal"/>
              <w:jc w:val="center"/>
            </w:pPr>
            <w:r>
              <w:t>н2</w:t>
            </w:r>
          </w:p>
        </w:tc>
        <w:tc>
          <w:tcPr>
            <w:tcW w:w="3345" w:type="dxa"/>
          </w:tcPr>
          <w:p w:rsidR="006C0F6C" w:rsidRDefault="006C0F6C">
            <w:pPr>
              <w:pStyle w:val="ConsPlusNormal"/>
              <w:jc w:val="center"/>
            </w:pPr>
            <w:r>
              <w:t>48°39'21.02" С</w:t>
            </w:r>
          </w:p>
        </w:tc>
        <w:tc>
          <w:tcPr>
            <w:tcW w:w="3345" w:type="dxa"/>
          </w:tcPr>
          <w:p w:rsidR="006C0F6C" w:rsidRDefault="006C0F6C">
            <w:pPr>
              <w:pStyle w:val="ConsPlusNormal"/>
              <w:jc w:val="center"/>
            </w:pPr>
            <w:r>
              <w:t>44°27'12.21" В</w:t>
            </w:r>
          </w:p>
        </w:tc>
      </w:tr>
      <w:tr w:rsidR="006C0F6C">
        <w:tc>
          <w:tcPr>
            <w:tcW w:w="2381" w:type="dxa"/>
          </w:tcPr>
          <w:p w:rsidR="006C0F6C" w:rsidRDefault="006C0F6C">
            <w:pPr>
              <w:pStyle w:val="ConsPlusNormal"/>
              <w:jc w:val="center"/>
            </w:pPr>
            <w:r>
              <w:t>н3</w:t>
            </w:r>
          </w:p>
        </w:tc>
        <w:tc>
          <w:tcPr>
            <w:tcW w:w="3345" w:type="dxa"/>
          </w:tcPr>
          <w:p w:rsidR="006C0F6C" w:rsidRDefault="006C0F6C">
            <w:pPr>
              <w:pStyle w:val="ConsPlusNormal"/>
              <w:jc w:val="center"/>
            </w:pPr>
            <w:r>
              <w:t>48°39'13.08" С</w:t>
            </w:r>
          </w:p>
        </w:tc>
        <w:tc>
          <w:tcPr>
            <w:tcW w:w="3345" w:type="dxa"/>
          </w:tcPr>
          <w:p w:rsidR="006C0F6C" w:rsidRDefault="006C0F6C">
            <w:pPr>
              <w:pStyle w:val="ConsPlusNormal"/>
              <w:jc w:val="center"/>
            </w:pPr>
            <w:r>
              <w:t>44°27'08.00" В</w:t>
            </w:r>
          </w:p>
        </w:tc>
      </w:tr>
      <w:tr w:rsidR="006C0F6C">
        <w:tc>
          <w:tcPr>
            <w:tcW w:w="2381" w:type="dxa"/>
          </w:tcPr>
          <w:p w:rsidR="006C0F6C" w:rsidRDefault="006C0F6C">
            <w:pPr>
              <w:pStyle w:val="ConsPlusNormal"/>
              <w:jc w:val="center"/>
            </w:pPr>
            <w:r>
              <w:t>н4</w:t>
            </w:r>
          </w:p>
        </w:tc>
        <w:tc>
          <w:tcPr>
            <w:tcW w:w="3345" w:type="dxa"/>
          </w:tcPr>
          <w:p w:rsidR="006C0F6C" w:rsidRDefault="006C0F6C">
            <w:pPr>
              <w:pStyle w:val="ConsPlusNormal"/>
              <w:jc w:val="center"/>
            </w:pPr>
            <w:r>
              <w:t>48°39'13.83" С</w:t>
            </w:r>
          </w:p>
        </w:tc>
        <w:tc>
          <w:tcPr>
            <w:tcW w:w="3345" w:type="dxa"/>
          </w:tcPr>
          <w:p w:rsidR="006C0F6C" w:rsidRDefault="006C0F6C">
            <w:pPr>
              <w:pStyle w:val="ConsPlusNormal"/>
              <w:jc w:val="center"/>
            </w:pPr>
            <w:r>
              <w:t>44°27'04.78" В</w:t>
            </w:r>
          </w:p>
        </w:tc>
      </w:tr>
    </w:tbl>
    <w:p w:rsidR="006C0F6C" w:rsidRDefault="006C0F6C">
      <w:pPr>
        <w:pStyle w:val="ConsPlusNormal"/>
        <w:jc w:val="both"/>
      </w:pPr>
    </w:p>
    <w:p w:rsidR="006C0F6C" w:rsidRDefault="006C0F6C">
      <w:pPr>
        <w:pStyle w:val="ConsPlusTitle"/>
        <w:jc w:val="center"/>
        <w:outlineLvl w:val="1"/>
      </w:pPr>
      <w:r>
        <w:t>Ситуационный план</w:t>
      </w:r>
    </w:p>
    <w:p w:rsidR="006C0F6C" w:rsidRDefault="006C0F6C">
      <w:pPr>
        <w:pStyle w:val="ConsPlusTitle"/>
        <w:jc w:val="center"/>
      </w:pPr>
      <w:r>
        <w:t>границ территории объекта культурного наследия регионального</w:t>
      </w:r>
    </w:p>
    <w:p w:rsidR="006C0F6C" w:rsidRDefault="006C0F6C">
      <w:pPr>
        <w:pStyle w:val="ConsPlusTitle"/>
        <w:jc w:val="center"/>
      </w:pPr>
      <w:r>
        <w:t>значения "Место, где в период Сталинградской обороны части</w:t>
      </w:r>
    </w:p>
    <w:p w:rsidR="006C0F6C" w:rsidRDefault="006C0F6C">
      <w:pPr>
        <w:pStyle w:val="ConsPlusTitle"/>
        <w:jc w:val="center"/>
      </w:pPr>
      <w:r>
        <w:t>64-й армии генерала Шумилова вели ожесточенные бои</w:t>
      </w:r>
    </w:p>
    <w:p w:rsidR="006C0F6C" w:rsidRDefault="006C0F6C">
      <w:pPr>
        <w:pStyle w:val="ConsPlusTitle"/>
        <w:jc w:val="center"/>
      </w:pPr>
      <w:r>
        <w:t>с немецко-фашистскими оккупантами", расположенного</w:t>
      </w:r>
    </w:p>
    <w:p w:rsidR="006C0F6C" w:rsidRDefault="006C0F6C">
      <w:pPr>
        <w:pStyle w:val="ConsPlusTitle"/>
        <w:jc w:val="center"/>
      </w:pPr>
      <w:r>
        <w:lastRenderedPageBreak/>
        <w:t>по адресу: Волгоградская область, г. Волгоград, Советский</w:t>
      </w:r>
    </w:p>
    <w:p w:rsidR="006C0F6C" w:rsidRDefault="006C0F6C">
      <w:pPr>
        <w:pStyle w:val="ConsPlusTitle"/>
        <w:jc w:val="center"/>
      </w:pPr>
      <w:r>
        <w:t>район, ул. Крепильная, 136</w:t>
      </w:r>
    </w:p>
    <w:p w:rsidR="006C0F6C" w:rsidRDefault="006C0F6C">
      <w:pPr>
        <w:pStyle w:val="ConsPlusNormal"/>
        <w:jc w:val="both"/>
      </w:pPr>
    </w:p>
    <w:p w:rsidR="006C0F6C" w:rsidRDefault="006C0F6C">
      <w:pPr>
        <w:pStyle w:val="ConsPlusNormal"/>
        <w:jc w:val="center"/>
      </w:pPr>
      <w:r w:rsidRPr="00894BEA">
        <w:rPr>
          <w:position w:val="-334"/>
        </w:rPr>
        <w:pict>
          <v:shape id="_x0000_i1025" style="width:436.5pt;height:345.75pt" coordsize="" o:spt="100" adj="0,,0" path="" filled="f" stroked="f">
            <v:stroke joinstyle="miter"/>
            <v:imagedata r:id="rId11" o:title="base_23732_223657_32768"/>
            <v:formulas/>
            <v:path o:connecttype="segments"/>
          </v:shape>
        </w:pict>
      </w:r>
    </w:p>
    <w:p w:rsidR="006C0F6C" w:rsidRDefault="006C0F6C">
      <w:pPr>
        <w:pStyle w:val="ConsPlusNormal"/>
        <w:jc w:val="both"/>
      </w:pPr>
    </w:p>
    <w:p w:rsidR="006C0F6C" w:rsidRDefault="006C0F6C">
      <w:pPr>
        <w:pStyle w:val="ConsPlusNormal"/>
        <w:jc w:val="both"/>
      </w:pPr>
    </w:p>
    <w:p w:rsidR="006C0F6C" w:rsidRDefault="006C0F6C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9E783E" w:rsidRDefault="009E783E"/>
    <w:sectPr w:rsidR="009E783E" w:rsidSect="007B7BD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C0F6C"/>
    <w:rsid w:val="006C0F6C"/>
    <w:rsid w:val="009E78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0F77712-5A1A-4943-A811-42FFCFC9BE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6C0F6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6C0F6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6C0F6C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51F201E079F68B99E71F951AA37A85868BFB7056A95AA0C1C8CA537BA3F3F20215919628341C948263236B0BDEE985F54F0EB448C178D51E3E8D1B79fDE4N" TargetMode="Externa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51F201E079F68B99E71F8B17B516DA838AF82B5AAB5FA99E9D9A552CFCA3F45755D1907D7758998067283F5B9AB7DCA60245B94ED664D518f2E1N" TargetMode="Externa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51F201E079F68B99E71F8B17B516DA8388F7295CAF59A99E9D9A552CFCA3F45755D19079705892D732673E07DCEBCFA40F45BB4ACAf6E7N" TargetMode="External"/><Relationship Id="rId11" Type="http://schemas.openxmlformats.org/officeDocument/2006/relationships/image" Target="media/image1.png"/><Relationship Id="rId5" Type="http://schemas.openxmlformats.org/officeDocument/2006/relationships/hyperlink" Target="consultantplus://offline/ref=51F201E079F68B99E71F8B17B516DA8388F7295CAF59A99E9D9A552CFCA3F45755D1907E705B92D732673E07DCEBCFA40F45BB4ACAf6E7N" TargetMode="External"/><Relationship Id="rId10" Type="http://schemas.openxmlformats.org/officeDocument/2006/relationships/hyperlink" Target="consultantplus://offline/ref=51F201E079F68B99E71F951AA37A85868BFB7056AC51A3CFC4C50E71ABAAFE00129EC93F3355988363236A0AD5B680E05E56BB43D666D104228F19f7EAN" TargetMode="External"/><Relationship Id="rId4" Type="http://schemas.openxmlformats.org/officeDocument/2006/relationships/hyperlink" Target="http://www.consultant.ru" TargetMode="External"/><Relationship Id="rId9" Type="http://schemas.openxmlformats.org/officeDocument/2006/relationships/hyperlink" Target="consultantplus://offline/ref=51F201E079F68B99E71F951AA37A85868BFB7056AC51A3CFC4C50E71ABAAFE00129EC92D330D94816A3D6B0EC0E0D1A6f0EAN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717</Words>
  <Characters>4089</Characters>
  <Application>Microsoft Office Word</Application>
  <DocSecurity>0</DocSecurity>
  <Lines>34</Lines>
  <Paragraphs>9</Paragraphs>
  <ScaleCrop>false</ScaleCrop>
  <Company>diakov.net</Company>
  <LinksUpToDate>false</LinksUpToDate>
  <CharactersWithSpaces>4797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RePack by Diakov</dc:creator>
  <cp:keywords/>
  <dc:description/>
  <cp:lastModifiedBy>RePack by Diakov</cp:lastModifiedBy>
  <cp:revision>1</cp:revision>
  <dcterms:created xsi:type="dcterms:W3CDTF">2021-04-29T13:04:00Z</dcterms:created>
  <dcterms:modified xsi:type="dcterms:W3CDTF">2021-04-29T13:05:00Z</dcterms:modified>
</cp:coreProperties>
</file>