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E78" w:rsidRDefault="00224E78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224E78" w:rsidRDefault="00224E78">
      <w:pPr>
        <w:pStyle w:val="ConsPlusNormal"/>
        <w:jc w:val="both"/>
        <w:outlineLvl w:val="0"/>
      </w:pPr>
    </w:p>
    <w:p w:rsidR="00224E78" w:rsidRDefault="00224E78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224E78" w:rsidRDefault="00224E78">
      <w:pPr>
        <w:pStyle w:val="ConsPlusTitle"/>
        <w:jc w:val="center"/>
      </w:pPr>
      <w:r>
        <w:t>КУЛЬТУРНОГО НАСЛЕДИЯ ВОЛГОГРАДСКОЙ ОБЛАСТИ</w:t>
      </w:r>
    </w:p>
    <w:p w:rsidR="00224E78" w:rsidRDefault="00224E78">
      <w:pPr>
        <w:pStyle w:val="ConsPlusTitle"/>
        <w:jc w:val="both"/>
      </w:pPr>
    </w:p>
    <w:p w:rsidR="00224E78" w:rsidRDefault="00224E78">
      <w:pPr>
        <w:pStyle w:val="ConsPlusTitle"/>
        <w:jc w:val="center"/>
      </w:pPr>
      <w:r>
        <w:t>ПРИКАЗ</w:t>
      </w:r>
    </w:p>
    <w:p w:rsidR="00224E78" w:rsidRDefault="00224E78">
      <w:pPr>
        <w:pStyle w:val="ConsPlusTitle"/>
        <w:jc w:val="center"/>
      </w:pPr>
      <w:r>
        <w:t>от 25 марта 2021 г. N 253</w:t>
      </w:r>
    </w:p>
    <w:p w:rsidR="00224E78" w:rsidRDefault="00224E78">
      <w:pPr>
        <w:pStyle w:val="ConsPlusTitle"/>
        <w:jc w:val="both"/>
      </w:pPr>
    </w:p>
    <w:p w:rsidR="00224E78" w:rsidRDefault="00224E78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224E78" w:rsidRDefault="00224E78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224E78" w:rsidRDefault="00224E78">
      <w:pPr>
        <w:pStyle w:val="ConsPlusTitle"/>
        <w:jc w:val="center"/>
      </w:pPr>
      <w:r>
        <w:t>ЗНАЧЕНИЯ "КУПЕЧЕСКИЙ ОСОБНЯК (КОММЕРЧ. БАНК "КОР")",</w:t>
      </w:r>
    </w:p>
    <w:p w:rsidR="00224E78" w:rsidRDefault="00224E78">
      <w:pPr>
        <w:pStyle w:val="ConsPlusTitle"/>
        <w:jc w:val="center"/>
      </w:pPr>
      <w:r>
        <w:t>РАСПОЛОЖЕННОГО ПО АДРЕСУ: ВОЛГОГРАДСКАЯ</w:t>
      </w:r>
    </w:p>
    <w:p w:rsidR="00224E78" w:rsidRDefault="00224E78">
      <w:pPr>
        <w:pStyle w:val="ConsPlusTitle"/>
        <w:jc w:val="center"/>
      </w:pPr>
      <w:r>
        <w:t>ОБЛАСТЬ, Г. ВОЛГОГРАД, ЦЕНТРАЛЬНЫЙ РАЙОН, УЛ. НЕВСКАЯ, 3</w:t>
      </w:r>
    </w:p>
    <w:p w:rsidR="00224E78" w:rsidRDefault="00224E78">
      <w:pPr>
        <w:pStyle w:val="ConsPlusNormal"/>
        <w:jc w:val="both"/>
      </w:pPr>
    </w:p>
    <w:p w:rsidR="00224E78" w:rsidRDefault="00224E78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224E78" w:rsidRDefault="00224E78">
      <w:pPr>
        <w:pStyle w:val="ConsPlusNormal"/>
        <w:spacing w:before="220"/>
        <w:ind w:firstLine="540"/>
        <w:jc w:val="both"/>
      </w:pPr>
      <w:r>
        <w:t xml:space="preserve">1. Утвердить перечень координат характерных точек границ территории объекта культурного наследия регионального значения "Купеческий особняк (Коммерч. банк "КОР")", расположенного по адресу: Волгоградская область, г. Волгоград, Центральный район, ул. Невская, 3,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25 августа 2014 г. N 01-20/338 "Об установлении границ территории объекта культурного наследия регионального значения "Купеческий особняк (Коммерч. банк "КОР")" кон. XIX в., расположенного по адресу: Волгоградская область, г. Волгоград, ул. Невская, 3, и установлении правовых режимов использования территории", согласно </w:t>
      </w:r>
      <w:hyperlink w:anchor="P25" w:history="1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:rsidR="00224E78" w:rsidRDefault="00224E78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25 августа 2014 г. N 01-20/338 "Об установлении границ территории объекта культурного наследия регионального значения "Купеческий особняк (Коммерч. банк "КОР")" кон. XIX в., расположенного по адресу: Волгоградская область, г. Волгоград, ул. Невская, 3, и установлении правовых режимов использования территории" утратившим силу.</w:t>
      </w:r>
    </w:p>
    <w:p w:rsidR="00224E78" w:rsidRDefault="00224E78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224E78" w:rsidRDefault="00224E78">
      <w:pPr>
        <w:pStyle w:val="ConsPlusNormal"/>
        <w:jc w:val="both"/>
      </w:pPr>
    </w:p>
    <w:p w:rsidR="00224E78" w:rsidRDefault="00224E78">
      <w:pPr>
        <w:pStyle w:val="ConsPlusNormal"/>
        <w:jc w:val="right"/>
      </w:pPr>
      <w:r>
        <w:t>Председатель комитета</w:t>
      </w:r>
    </w:p>
    <w:p w:rsidR="00224E78" w:rsidRDefault="00224E78">
      <w:pPr>
        <w:pStyle w:val="ConsPlusNormal"/>
        <w:jc w:val="right"/>
      </w:pPr>
      <w:r>
        <w:t>А.Ю.БАЖЕНОВ</w:t>
      </w:r>
    </w:p>
    <w:p w:rsidR="00224E78" w:rsidRDefault="00224E78">
      <w:pPr>
        <w:pStyle w:val="ConsPlusNormal"/>
        <w:jc w:val="both"/>
      </w:pPr>
    </w:p>
    <w:p w:rsidR="00224E78" w:rsidRDefault="00224E78">
      <w:pPr>
        <w:pStyle w:val="ConsPlusNormal"/>
        <w:jc w:val="both"/>
      </w:pPr>
    </w:p>
    <w:p w:rsidR="00224E78" w:rsidRDefault="00224E78">
      <w:pPr>
        <w:pStyle w:val="ConsPlusNormal"/>
        <w:jc w:val="both"/>
      </w:pPr>
    </w:p>
    <w:p w:rsidR="00224E78" w:rsidRDefault="00224E78">
      <w:pPr>
        <w:pStyle w:val="ConsPlusNormal"/>
        <w:jc w:val="both"/>
      </w:pPr>
    </w:p>
    <w:p w:rsidR="00224E78" w:rsidRDefault="00224E78">
      <w:pPr>
        <w:pStyle w:val="ConsPlusNormal"/>
        <w:jc w:val="both"/>
      </w:pPr>
    </w:p>
    <w:p w:rsidR="00224E78" w:rsidRDefault="00224E78">
      <w:pPr>
        <w:pStyle w:val="ConsPlusNormal"/>
        <w:jc w:val="right"/>
        <w:outlineLvl w:val="0"/>
      </w:pPr>
      <w:bookmarkStart w:id="0" w:name="P25"/>
      <w:bookmarkEnd w:id="0"/>
      <w:r>
        <w:t>Приложение</w:t>
      </w:r>
    </w:p>
    <w:p w:rsidR="00224E78" w:rsidRDefault="00224E78">
      <w:pPr>
        <w:pStyle w:val="ConsPlusNormal"/>
        <w:jc w:val="right"/>
      </w:pPr>
      <w:r>
        <w:t>к приказу</w:t>
      </w:r>
    </w:p>
    <w:p w:rsidR="00224E78" w:rsidRDefault="00224E78">
      <w:pPr>
        <w:pStyle w:val="ConsPlusNormal"/>
        <w:jc w:val="right"/>
      </w:pPr>
      <w:r>
        <w:t>комитета</w:t>
      </w:r>
    </w:p>
    <w:p w:rsidR="00224E78" w:rsidRDefault="00224E78">
      <w:pPr>
        <w:pStyle w:val="ConsPlusNormal"/>
        <w:jc w:val="right"/>
      </w:pPr>
      <w:r>
        <w:t>государственной охраны</w:t>
      </w:r>
    </w:p>
    <w:p w:rsidR="00224E78" w:rsidRDefault="00224E78">
      <w:pPr>
        <w:pStyle w:val="ConsPlusNormal"/>
        <w:jc w:val="right"/>
      </w:pPr>
      <w:r>
        <w:t>объектов культурного наследия</w:t>
      </w:r>
    </w:p>
    <w:p w:rsidR="00224E78" w:rsidRDefault="00224E78">
      <w:pPr>
        <w:pStyle w:val="ConsPlusNormal"/>
        <w:jc w:val="right"/>
      </w:pPr>
      <w:r>
        <w:lastRenderedPageBreak/>
        <w:t>Волгоградской области</w:t>
      </w:r>
    </w:p>
    <w:p w:rsidR="00224E78" w:rsidRDefault="00224E78">
      <w:pPr>
        <w:pStyle w:val="ConsPlusNormal"/>
        <w:jc w:val="right"/>
      </w:pPr>
      <w:r>
        <w:t>от 25.03.2021 N 253</w:t>
      </w:r>
    </w:p>
    <w:p w:rsidR="00224E78" w:rsidRDefault="00224E78">
      <w:pPr>
        <w:pStyle w:val="ConsPlusNormal"/>
        <w:jc w:val="both"/>
      </w:pPr>
    </w:p>
    <w:p w:rsidR="00224E78" w:rsidRDefault="00224E78">
      <w:pPr>
        <w:pStyle w:val="ConsPlusTitle"/>
        <w:jc w:val="center"/>
        <w:outlineLvl w:val="1"/>
      </w:pPr>
      <w:r>
        <w:t>Перечень</w:t>
      </w:r>
    </w:p>
    <w:p w:rsidR="00224E78" w:rsidRDefault="00224E78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224E78" w:rsidRDefault="00224E78">
      <w:pPr>
        <w:pStyle w:val="ConsPlusTitle"/>
        <w:jc w:val="center"/>
      </w:pPr>
      <w:r>
        <w:t>культурного наследия регионального значения "Купеческий</w:t>
      </w:r>
    </w:p>
    <w:p w:rsidR="00224E78" w:rsidRDefault="00224E78">
      <w:pPr>
        <w:pStyle w:val="ConsPlusTitle"/>
        <w:jc w:val="center"/>
      </w:pPr>
      <w:r>
        <w:t>особняк (Коммерч. банк "КОР")", расположенного по адресу:</w:t>
      </w:r>
    </w:p>
    <w:p w:rsidR="00224E78" w:rsidRDefault="00224E78">
      <w:pPr>
        <w:pStyle w:val="ConsPlusTitle"/>
        <w:jc w:val="center"/>
      </w:pPr>
      <w:r>
        <w:t>Волгоградская область, г. Волгоград, Центральный район,</w:t>
      </w:r>
    </w:p>
    <w:p w:rsidR="00224E78" w:rsidRDefault="00224E78">
      <w:pPr>
        <w:pStyle w:val="ConsPlusTitle"/>
        <w:jc w:val="center"/>
      </w:pPr>
      <w:r>
        <w:t>ул. Невская, 3</w:t>
      </w:r>
    </w:p>
    <w:p w:rsidR="00224E78" w:rsidRDefault="00224E78">
      <w:pPr>
        <w:pStyle w:val="ConsPlusNormal"/>
        <w:jc w:val="both"/>
      </w:pPr>
    </w:p>
    <w:p w:rsidR="00224E78" w:rsidRDefault="00224E78">
      <w:pPr>
        <w:pStyle w:val="ConsPlusTitle"/>
        <w:jc w:val="center"/>
        <w:outlineLvl w:val="2"/>
      </w:pPr>
      <w:r>
        <w:t>Система координат: местная, городская</w:t>
      </w:r>
    </w:p>
    <w:p w:rsidR="00224E78" w:rsidRDefault="00224E78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701"/>
        <w:gridCol w:w="2551"/>
        <w:gridCol w:w="2551"/>
      </w:tblGrid>
      <w:tr w:rsidR="00224E78">
        <w:tc>
          <w:tcPr>
            <w:tcW w:w="2268" w:type="dxa"/>
          </w:tcPr>
          <w:p w:rsidR="00224E78" w:rsidRDefault="00224E7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:rsidR="00224E78" w:rsidRDefault="00224E78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:rsidR="00224E78" w:rsidRDefault="00224E78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:rsidR="00224E78" w:rsidRDefault="00224E78">
            <w:pPr>
              <w:pStyle w:val="ConsPlusNormal"/>
              <w:jc w:val="center"/>
            </w:pPr>
            <w:r>
              <w:t>У</w:t>
            </w:r>
          </w:p>
        </w:tc>
      </w:tr>
      <w:tr w:rsidR="00224E78">
        <w:tc>
          <w:tcPr>
            <w:tcW w:w="2268" w:type="dxa"/>
          </w:tcPr>
          <w:p w:rsidR="00224E78" w:rsidRDefault="00224E78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224E78" w:rsidRDefault="00224E78">
            <w:pPr>
              <w:pStyle w:val="ConsPlusNormal"/>
            </w:pPr>
          </w:p>
        </w:tc>
        <w:tc>
          <w:tcPr>
            <w:tcW w:w="2551" w:type="dxa"/>
          </w:tcPr>
          <w:p w:rsidR="00224E78" w:rsidRDefault="00224E78">
            <w:pPr>
              <w:pStyle w:val="ConsPlusNormal"/>
              <w:jc w:val="center"/>
            </w:pPr>
            <w:r>
              <w:t>477,94</w:t>
            </w:r>
          </w:p>
        </w:tc>
        <w:tc>
          <w:tcPr>
            <w:tcW w:w="2551" w:type="dxa"/>
          </w:tcPr>
          <w:p w:rsidR="00224E78" w:rsidRDefault="00224E78">
            <w:pPr>
              <w:pStyle w:val="ConsPlusNormal"/>
              <w:jc w:val="center"/>
            </w:pPr>
            <w:r>
              <w:t>128,54</w:t>
            </w:r>
          </w:p>
        </w:tc>
      </w:tr>
      <w:tr w:rsidR="00224E78">
        <w:tc>
          <w:tcPr>
            <w:tcW w:w="2268" w:type="dxa"/>
          </w:tcPr>
          <w:p w:rsidR="00224E78" w:rsidRDefault="00224E78">
            <w:pPr>
              <w:pStyle w:val="ConsPlusNormal"/>
            </w:pPr>
          </w:p>
        </w:tc>
        <w:tc>
          <w:tcPr>
            <w:tcW w:w="1701" w:type="dxa"/>
          </w:tcPr>
          <w:p w:rsidR="00224E78" w:rsidRDefault="00224E78">
            <w:pPr>
              <w:pStyle w:val="ConsPlusNormal"/>
              <w:jc w:val="center"/>
            </w:pPr>
            <w:r>
              <w:t>49,06</w:t>
            </w:r>
          </w:p>
        </w:tc>
        <w:tc>
          <w:tcPr>
            <w:tcW w:w="2551" w:type="dxa"/>
          </w:tcPr>
          <w:p w:rsidR="00224E78" w:rsidRDefault="00224E78">
            <w:pPr>
              <w:pStyle w:val="ConsPlusNormal"/>
            </w:pPr>
          </w:p>
        </w:tc>
        <w:tc>
          <w:tcPr>
            <w:tcW w:w="2551" w:type="dxa"/>
          </w:tcPr>
          <w:p w:rsidR="00224E78" w:rsidRDefault="00224E78">
            <w:pPr>
              <w:pStyle w:val="ConsPlusNormal"/>
            </w:pPr>
          </w:p>
        </w:tc>
      </w:tr>
      <w:tr w:rsidR="00224E78">
        <w:tc>
          <w:tcPr>
            <w:tcW w:w="2268" w:type="dxa"/>
          </w:tcPr>
          <w:p w:rsidR="00224E78" w:rsidRDefault="00224E78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1" w:type="dxa"/>
          </w:tcPr>
          <w:p w:rsidR="00224E78" w:rsidRDefault="00224E78">
            <w:pPr>
              <w:pStyle w:val="ConsPlusNormal"/>
            </w:pPr>
          </w:p>
        </w:tc>
        <w:tc>
          <w:tcPr>
            <w:tcW w:w="2551" w:type="dxa"/>
          </w:tcPr>
          <w:p w:rsidR="00224E78" w:rsidRDefault="00224E78">
            <w:pPr>
              <w:pStyle w:val="ConsPlusNormal"/>
              <w:jc w:val="center"/>
            </w:pPr>
            <w:r>
              <w:t>448,72</w:t>
            </w:r>
          </w:p>
        </w:tc>
        <w:tc>
          <w:tcPr>
            <w:tcW w:w="2551" w:type="dxa"/>
          </w:tcPr>
          <w:p w:rsidR="00224E78" w:rsidRDefault="00224E78">
            <w:pPr>
              <w:pStyle w:val="ConsPlusNormal"/>
              <w:jc w:val="center"/>
            </w:pPr>
            <w:r>
              <w:t>89,13</w:t>
            </w:r>
          </w:p>
        </w:tc>
      </w:tr>
      <w:tr w:rsidR="00224E78">
        <w:tc>
          <w:tcPr>
            <w:tcW w:w="2268" w:type="dxa"/>
          </w:tcPr>
          <w:p w:rsidR="00224E78" w:rsidRDefault="00224E78">
            <w:pPr>
              <w:pStyle w:val="ConsPlusNormal"/>
            </w:pPr>
          </w:p>
        </w:tc>
        <w:tc>
          <w:tcPr>
            <w:tcW w:w="1701" w:type="dxa"/>
          </w:tcPr>
          <w:p w:rsidR="00224E78" w:rsidRDefault="00224E78">
            <w:pPr>
              <w:pStyle w:val="ConsPlusNormal"/>
              <w:jc w:val="center"/>
            </w:pPr>
            <w:r>
              <w:t>29,63</w:t>
            </w:r>
          </w:p>
        </w:tc>
        <w:tc>
          <w:tcPr>
            <w:tcW w:w="2551" w:type="dxa"/>
          </w:tcPr>
          <w:p w:rsidR="00224E78" w:rsidRDefault="00224E78">
            <w:pPr>
              <w:pStyle w:val="ConsPlusNormal"/>
            </w:pPr>
          </w:p>
        </w:tc>
        <w:tc>
          <w:tcPr>
            <w:tcW w:w="2551" w:type="dxa"/>
          </w:tcPr>
          <w:p w:rsidR="00224E78" w:rsidRDefault="00224E78">
            <w:pPr>
              <w:pStyle w:val="ConsPlusNormal"/>
            </w:pPr>
          </w:p>
        </w:tc>
      </w:tr>
      <w:tr w:rsidR="00224E78">
        <w:tc>
          <w:tcPr>
            <w:tcW w:w="2268" w:type="dxa"/>
          </w:tcPr>
          <w:p w:rsidR="00224E78" w:rsidRDefault="00224E78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1" w:type="dxa"/>
          </w:tcPr>
          <w:p w:rsidR="00224E78" w:rsidRDefault="00224E78">
            <w:pPr>
              <w:pStyle w:val="ConsPlusNormal"/>
            </w:pPr>
          </w:p>
        </w:tc>
        <w:tc>
          <w:tcPr>
            <w:tcW w:w="2551" w:type="dxa"/>
          </w:tcPr>
          <w:p w:rsidR="00224E78" w:rsidRDefault="00224E78">
            <w:pPr>
              <w:pStyle w:val="ConsPlusNormal"/>
              <w:jc w:val="center"/>
            </w:pPr>
            <w:r>
              <w:t>424,92</w:t>
            </w:r>
          </w:p>
        </w:tc>
        <w:tc>
          <w:tcPr>
            <w:tcW w:w="2551" w:type="dxa"/>
          </w:tcPr>
          <w:p w:rsidR="00224E78" w:rsidRDefault="00224E78">
            <w:pPr>
              <w:pStyle w:val="ConsPlusNormal"/>
              <w:jc w:val="center"/>
            </w:pPr>
            <w:r>
              <w:t>106,78</w:t>
            </w:r>
          </w:p>
        </w:tc>
      </w:tr>
      <w:tr w:rsidR="00224E78">
        <w:tc>
          <w:tcPr>
            <w:tcW w:w="2268" w:type="dxa"/>
          </w:tcPr>
          <w:p w:rsidR="00224E78" w:rsidRDefault="00224E78">
            <w:pPr>
              <w:pStyle w:val="ConsPlusNormal"/>
            </w:pPr>
          </w:p>
        </w:tc>
        <w:tc>
          <w:tcPr>
            <w:tcW w:w="1701" w:type="dxa"/>
          </w:tcPr>
          <w:p w:rsidR="00224E78" w:rsidRDefault="00224E78">
            <w:pPr>
              <w:pStyle w:val="ConsPlusNormal"/>
              <w:jc w:val="center"/>
            </w:pPr>
            <w:r>
              <w:t>49,05</w:t>
            </w:r>
          </w:p>
        </w:tc>
        <w:tc>
          <w:tcPr>
            <w:tcW w:w="2551" w:type="dxa"/>
          </w:tcPr>
          <w:p w:rsidR="00224E78" w:rsidRDefault="00224E78">
            <w:pPr>
              <w:pStyle w:val="ConsPlusNormal"/>
            </w:pPr>
          </w:p>
        </w:tc>
        <w:tc>
          <w:tcPr>
            <w:tcW w:w="2551" w:type="dxa"/>
          </w:tcPr>
          <w:p w:rsidR="00224E78" w:rsidRDefault="00224E78">
            <w:pPr>
              <w:pStyle w:val="ConsPlusNormal"/>
            </w:pPr>
          </w:p>
        </w:tc>
      </w:tr>
      <w:tr w:rsidR="00224E78">
        <w:tc>
          <w:tcPr>
            <w:tcW w:w="2268" w:type="dxa"/>
          </w:tcPr>
          <w:p w:rsidR="00224E78" w:rsidRDefault="00224E78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1" w:type="dxa"/>
          </w:tcPr>
          <w:p w:rsidR="00224E78" w:rsidRDefault="00224E78">
            <w:pPr>
              <w:pStyle w:val="ConsPlusNormal"/>
            </w:pPr>
          </w:p>
        </w:tc>
        <w:tc>
          <w:tcPr>
            <w:tcW w:w="2551" w:type="dxa"/>
          </w:tcPr>
          <w:p w:rsidR="00224E78" w:rsidRDefault="00224E78">
            <w:pPr>
              <w:pStyle w:val="ConsPlusNormal"/>
              <w:jc w:val="center"/>
            </w:pPr>
            <w:r>
              <w:t>454,13</w:t>
            </w:r>
          </w:p>
        </w:tc>
        <w:tc>
          <w:tcPr>
            <w:tcW w:w="2551" w:type="dxa"/>
          </w:tcPr>
          <w:p w:rsidR="00224E78" w:rsidRDefault="00224E78">
            <w:pPr>
              <w:pStyle w:val="ConsPlusNormal"/>
              <w:jc w:val="center"/>
            </w:pPr>
            <w:r>
              <w:t>146,19</w:t>
            </w:r>
          </w:p>
        </w:tc>
      </w:tr>
      <w:tr w:rsidR="00224E78">
        <w:tc>
          <w:tcPr>
            <w:tcW w:w="2268" w:type="dxa"/>
          </w:tcPr>
          <w:p w:rsidR="00224E78" w:rsidRDefault="00224E78">
            <w:pPr>
              <w:pStyle w:val="ConsPlusNormal"/>
            </w:pPr>
          </w:p>
        </w:tc>
        <w:tc>
          <w:tcPr>
            <w:tcW w:w="1701" w:type="dxa"/>
          </w:tcPr>
          <w:p w:rsidR="00224E78" w:rsidRDefault="00224E78">
            <w:pPr>
              <w:pStyle w:val="ConsPlusNormal"/>
              <w:jc w:val="center"/>
            </w:pPr>
            <w:r>
              <w:t>29,64</w:t>
            </w:r>
          </w:p>
        </w:tc>
        <w:tc>
          <w:tcPr>
            <w:tcW w:w="2551" w:type="dxa"/>
          </w:tcPr>
          <w:p w:rsidR="00224E78" w:rsidRDefault="00224E78">
            <w:pPr>
              <w:pStyle w:val="ConsPlusNormal"/>
            </w:pPr>
          </w:p>
        </w:tc>
        <w:tc>
          <w:tcPr>
            <w:tcW w:w="2551" w:type="dxa"/>
          </w:tcPr>
          <w:p w:rsidR="00224E78" w:rsidRDefault="00224E78">
            <w:pPr>
              <w:pStyle w:val="ConsPlusNormal"/>
            </w:pPr>
          </w:p>
        </w:tc>
      </w:tr>
      <w:tr w:rsidR="00224E78">
        <w:tc>
          <w:tcPr>
            <w:tcW w:w="2268" w:type="dxa"/>
          </w:tcPr>
          <w:p w:rsidR="00224E78" w:rsidRDefault="00224E78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224E78" w:rsidRDefault="00224E78">
            <w:pPr>
              <w:pStyle w:val="ConsPlusNormal"/>
            </w:pPr>
          </w:p>
        </w:tc>
        <w:tc>
          <w:tcPr>
            <w:tcW w:w="2551" w:type="dxa"/>
          </w:tcPr>
          <w:p w:rsidR="00224E78" w:rsidRDefault="00224E78">
            <w:pPr>
              <w:pStyle w:val="ConsPlusNormal"/>
              <w:jc w:val="center"/>
            </w:pPr>
            <w:r>
              <w:t>477,94</w:t>
            </w:r>
          </w:p>
        </w:tc>
        <w:tc>
          <w:tcPr>
            <w:tcW w:w="2551" w:type="dxa"/>
          </w:tcPr>
          <w:p w:rsidR="00224E78" w:rsidRDefault="00224E78">
            <w:pPr>
              <w:pStyle w:val="ConsPlusNormal"/>
              <w:jc w:val="center"/>
            </w:pPr>
            <w:r>
              <w:t>128,54</w:t>
            </w:r>
          </w:p>
        </w:tc>
      </w:tr>
    </w:tbl>
    <w:p w:rsidR="00224E78" w:rsidRDefault="00224E78">
      <w:pPr>
        <w:pStyle w:val="ConsPlusNormal"/>
        <w:jc w:val="both"/>
      </w:pPr>
    </w:p>
    <w:p w:rsidR="00224E78" w:rsidRDefault="00224E78">
      <w:pPr>
        <w:pStyle w:val="ConsPlusTitle"/>
        <w:jc w:val="center"/>
        <w:outlineLvl w:val="2"/>
      </w:pPr>
      <w:r>
        <w:t>Система координат: WGS 84</w:t>
      </w:r>
    </w:p>
    <w:p w:rsidR="00224E78" w:rsidRDefault="00224E78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3288"/>
        <w:gridCol w:w="3288"/>
      </w:tblGrid>
      <w:tr w:rsidR="00224E78">
        <w:tc>
          <w:tcPr>
            <w:tcW w:w="2494" w:type="dxa"/>
          </w:tcPr>
          <w:p w:rsidR="00224E78" w:rsidRDefault="00224E7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88" w:type="dxa"/>
          </w:tcPr>
          <w:p w:rsidR="00224E78" w:rsidRDefault="00224E7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88" w:type="dxa"/>
          </w:tcPr>
          <w:p w:rsidR="00224E78" w:rsidRDefault="00224E78">
            <w:pPr>
              <w:pStyle w:val="ConsPlusNormal"/>
              <w:jc w:val="center"/>
            </w:pPr>
            <w:r>
              <w:t>E</w:t>
            </w:r>
          </w:p>
        </w:tc>
      </w:tr>
      <w:tr w:rsidR="00224E78">
        <w:tc>
          <w:tcPr>
            <w:tcW w:w="2494" w:type="dxa"/>
          </w:tcPr>
          <w:p w:rsidR="00224E78" w:rsidRDefault="00224E78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288" w:type="dxa"/>
          </w:tcPr>
          <w:p w:rsidR="00224E78" w:rsidRDefault="00224E78">
            <w:pPr>
              <w:pStyle w:val="ConsPlusNormal"/>
              <w:jc w:val="center"/>
            </w:pPr>
            <w:r>
              <w:t>48°42'50,81" С</w:t>
            </w:r>
          </w:p>
        </w:tc>
        <w:tc>
          <w:tcPr>
            <w:tcW w:w="3288" w:type="dxa"/>
          </w:tcPr>
          <w:p w:rsidR="00224E78" w:rsidRDefault="00224E78">
            <w:pPr>
              <w:pStyle w:val="ConsPlusNormal"/>
              <w:jc w:val="center"/>
            </w:pPr>
            <w:r>
              <w:t>44°30'43,76" В</w:t>
            </w:r>
          </w:p>
        </w:tc>
      </w:tr>
      <w:tr w:rsidR="00224E78">
        <w:tc>
          <w:tcPr>
            <w:tcW w:w="2494" w:type="dxa"/>
          </w:tcPr>
          <w:p w:rsidR="00224E78" w:rsidRDefault="00224E78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288" w:type="dxa"/>
          </w:tcPr>
          <w:p w:rsidR="00224E78" w:rsidRDefault="00224E78">
            <w:pPr>
              <w:pStyle w:val="ConsPlusNormal"/>
              <w:jc w:val="center"/>
            </w:pPr>
            <w:r>
              <w:t>48°42'49,87" С</w:t>
            </w:r>
          </w:p>
        </w:tc>
        <w:tc>
          <w:tcPr>
            <w:tcW w:w="3288" w:type="dxa"/>
          </w:tcPr>
          <w:p w:rsidR="00224E78" w:rsidRDefault="00224E78">
            <w:pPr>
              <w:pStyle w:val="ConsPlusNormal"/>
              <w:jc w:val="center"/>
            </w:pPr>
            <w:r>
              <w:t>44°30'41,83" В</w:t>
            </w:r>
          </w:p>
        </w:tc>
      </w:tr>
      <w:tr w:rsidR="00224E78">
        <w:tc>
          <w:tcPr>
            <w:tcW w:w="2494" w:type="dxa"/>
          </w:tcPr>
          <w:p w:rsidR="00224E78" w:rsidRDefault="00224E78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288" w:type="dxa"/>
          </w:tcPr>
          <w:p w:rsidR="00224E78" w:rsidRDefault="00224E78">
            <w:pPr>
              <w:pStyle w:val="ConsPlusNormal"/>
              <w:jc w:val="center"/>
            </w:pPr>
            <w:r>
              <w:t>48°42'49,10" С</w:t>
            </w:r>
          </w:p>
        </w:tc>
        <w:tc>
          <w:tcPr>
            <w:tcW w:w="3288" w:type="dxa"/>
          </w:tcPr>
          <w:p w:rsidR="00224E78" w:rsidRDefault="00224E78">
            <w:pPr>
              <w:pStyle w:val="ConsPlusNormal"/>
              <w:jc w:val="center"/>
            </w:pPr>
            <w:r>
              <w:t>44°30'42,69" В</w:t>
            </w:r>
          </w:p>
        </w:tc>
      </w:tr>
      <w:tr w:rsidR="00224E78">
        <w:tc>
          <w:tcPr>
            <w:tcW w:w="2494" w:type="dxa"/>
          </w:tcPr>
          <w:p w:rsidR="00224E78" w:rsidRDefault="00224E78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288" w:type="dxa"/>
          </w:tcPr>
          <w:p w:rsidR="00224E78" w:rsidRDefault="00224E78">
            <w:pPr>
              <w:pStyle w:val="ConsPlusNormal"/>
              <w:jc w:val="center"/>
            </w:pPr>
            <w:r>
              <w:t>48°42'50,04" С</w:t>
            </w:r>
          </w:p>
        </w:tc>
        <w:tc>
          <w:tcPr>
            <w:tcW w:w="3288" w:type="dxa"/>
          </w:tcPr>
          <w:p w:rsidR="00224E78" w:rsidRDefault="00224E78">
            <w:pPr>
              <w:pStyle w:val="ConsPlusNormal"/>
              <w:jc w:val="center"/>
            </w:pPr>
            <w:r>
              <w:t>44°30'44,62" В</w:t>
            </w:r>
          </w:p>
        </w:tc>
      </w:tr>
    </w:tbl>
    <w:p w:rsidR="00224E78" w:rsidRDefault="00224E78">
      <w:pPr>
        <w:pStyle w:val="ConsPlusNormal"/>
        <w:jc w:val="both"/>
      </w:pPr>
    </w:p>
    <w:p w:rsidR="00224E78" w:rsidRDefault="00224E78">
      <w:pPr>
        <w:pStyle w:val="ConsPlusTitle"/>
        <w:jc w:val="center"/>
        <w:outlineLvl w:val="1"/>
      </w:pPr>
      <w:r>
        <w:t>Ситуационный план</w:t>
      </w:r>
    </w:p>
    <w:p w:rsidR="00224E78" w:rsidRDefault="00224E78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224E78" w:rsidRDefault="00224E78">
      <w:pPr>
        <w:pStyle w:val="ConsPlusTitle"/>
        <w:jc w:val="center"/>
      </w:pPr>
      <w:r>
        <w:t>значения "Купеческий особняк (Коммерч. банк "КОР")",</w:t>
      </w:r>
    </w:p>
    <w:p w:rsidR="00224E78" w:rsidRDefault="00224E78">
      <w:pPr>
        <w:pStyle w:val="ConsPlusTitle"/>
        <w:jc w:val="center"/>
      </w:pPr>
      <w:r>
        <w:t>расположенного по адресу: Волгоградская</w:t>
      </w:r>
    </w:p>
    <w:p w:rsidR="00224E78" w:rsidRDefault="00224E78">
      <w:pPr>
        <w:pStyle w:val="ConsPlusTitle"/>
        <w:jc w:val="center"/>
      </w:pPr>
      <w:r>
        <w:t xml:space="preserve">область, г. Волгоград, Центральный район, </w:t>
      </w:r>
      <w:bookmarkStart w:id="1" w:name="_GoBack"/>
      <w:r>
        <w:t>ул. Невская, 3</w:t>
      </w:r>
      <w:bookmarkEnd w:id="1"/>
    </w:p>
    <w:p w:rsidR="00224E78" w:rsidRDefault="00224E78">
      <w:pPr>
        <w:pStyle w:val="ConsPlusNormal"/>
        <w:jc w:val="both"/>
      </w:pPr>
    </w:p>
    <w:p w:rsidR="00224E78" w:rsidRDefault="00224E78">
      <w:pPr>
        <w:pStyle w:val="ConsPlusNormal"/>
        <w:jc w:val="center"/>
      </w:pPr>
      <w:r w:rsidRPr="00A43E73">
        <w:rPr>
          <w:position w:val="-449"/>
        </w:rPr>
        <w:lastRenderedPageBreak/>
        <w:pict>
          <v:shape id="_x0000_i1025" style="width:436.5pt;height:460.5pt" coordsize="" o:spt="100" adj="0,,0" path="" filled="f" stroked="f">
            <v:stroke joinstyle="miter"/>
            <v:imagedata r:id="rId11" o:title="base_23732_223825_32768"/>
            <v:formulas/>
            <v:path o:connecttype="segments"/>
          </v:shape>
        </w:pict>
      </w:r>
    </w:p>
    <w:p w:rsidR="00224E78" w:rsidRDefault="00224E78">
      <w:pPr>
        <w:pStyle w:val="ConsPlusNormal"/>
        <w:jc w:val="both"/>
      </w:pPr>
    </w:p>
    <w:p w:rsidR="00224E78" w:rsidRDefault="00224E78">
      <w:pPr>
        <w:pStyle w:val="ConsPlusNormal"/>
        <w:jc w:val="both"/>
      </w:pPr>
    </w:p>
    <w:p w:rsidR="00224E78" w:rsidRDefault="00224E7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E783E" w:rsidRDefault="009E783E"/>
    <w:sectPr w:rsidR="009E783E" w:rsidSect="00CA50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E78"/>
    <w:rsid w:val="00224E78"/>
    <w:rsid w:val="009E7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1CEB16-9D5B-4FE1-98B3-0A0F633B7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4E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24E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24E7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7AFA7CC0E291B1BDAA7814D1E6784BAAC7C7592208773F2B603FA62786C6F67A942EACA67F161F74153C0EF74EBB130FF97476A7F7991650D518C6Bw732O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7AFA7CC0E291B1BDAA79F40080BDBBFAD7F2E9E22827AADE353FC35273C6932E902EC9F24B56CF5455894BF30B5E863B2DC4A6C68659163w132O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7AFA7CC0E291B1BDAA79F40080BDBBFAF702C9826847AADE353FC35273C6932E902EC9B23B567A2101795E376E9FB61BFDC486874w636O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47AFA7CC0E291B1BDAA79F40080BDBBFAF702C9826847AADE353FC35273C6932E902EC9C23B667A2101795E376E9FB61BFDC486874w636O" TargetMode="External"/><Relationship Id="rId10" Type="http://schemas.openxmlformats.org/officeDocument/2006/relationships/hyperlink" Target="consultantplus://offline/ref=47AFA7CC0E291B1BDAA7814D1E6784BAAC7C7592238770FCBB00FA62786C6F67A942EACA67F161F74153C0EF74EBB130FF97476A7F7991650D518C6Bw732O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47AFA7CC0E291B1BDAA7814D1E6784BAAC7C7592238770FCBB00FA62786C6F67A942EACA75F139FB435ADEEE70FEE761B9wC33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653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2021-04-29T14:55:00Z</dcterms:created>
  <dcterms:modified xsi:type="dcterms:W3CDTF">2021-04-29T14:56:00Z</dcterms:modified>
</cp:coreProperties>
</file>