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BDF" w:rsidRDefault="006B5BDF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6B5BDF" w:rsidRDefault="006B5BDF">
      <w:pPr>
        <w:pStyle w:val="ConsPlusNormal"/>
        <w:jc w:val="both"/>
        <w:outlineLvl w:val="0"/>
      </w:pPr>
    </w:p>
    <w:p w:rsidR="006B5BDF" w:rsidRDefault="006B5BDF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6B5BDF" w:rsidRDefault="006B5BDF">
      <w:pPr>
        <w:pStyle w:val="ConsPlusTitle"/>
        <w:jc w:val="center"/>
      </w:pPr>
      <w:r>
        <w:t>КУЛЬТУРНОГО НАСЛЕДИЯ ВОЛГОГРАДСКОЙ ОБЛАСТИ</w:t>
      </w:r>
    </w:p>
    <w:p w:rsidR="006B5BDF" w:rsidRDefault="006B5BDF">
      <w:pPr>
        <w:pStyle w:val="ConsPlusTitle"/>
        <w:jc w:val="both"/>
      </w:pPr>
    </w:p>
    <w:p w:rsidR="006B5BDF" w:rsidRDefault="006B5BDF">
      <w:pPr>
        <w:pStyle w:val="ConsPlusTitle"/>
        <w:jc w:val="center"/>
      </w:pPr>
      <w:r>
        <w:t>ПРИКАЗ</w:t>
      </w:r>
    </w:p>
    <w:p w:rsidR="006B5BDF" w:rsidRDefault="006B5BDF">
      <w:pPr>
        <w:pStyle w:val="ConsPlusTitle"/>
        <w:jc w:val="center"/>
      </w:pPr>
      <w:r>
        <w:t>от 17 февраля 2021 г. N 92</w:t>
      </w:r>
    </w:p>
    <w:p w:rsidR="006B5BDF" w:rsidRDefault="006B5BDF">
      <w:pPr>
        <w:pStyle w:val="ConsPlusTitle"/>
        <w:jc w:val="both"/>
      </w:pPr>
    </w:p>
    <w:p w:rsidR="006B5BDF" w:rsidRDefault="006B5BDF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6B5BDF" w:rsidRDefault="006B5BDF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6B5BDF" w:rsidRDefault="006B5BDF">
      <w:pPr>
        <w:pStyle w:val="ConsPlusTitle"/>
        <w:jc w:val="center"/>
      </w:pPr>
      <w:r>
        <w:t>ЗНАЧЕНИЯ "ПРОХОДНЫЕ СТАДИОНА СТЗ (ВГТЗ) "ТРАКТОР",</w:t>
      </w:r>
    </w:p>
    <w:p w:rsidR="006B5BDF" w:rsidRDefault="006B5BDF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</w:t>
      </w:r>
    </w:p>
    <w:p w:rsidR="006B5BDF" w:rsidRDefault="006B5BDF">
      <w:pPr>
        <w:pStyle w:val="ConsPlusTitle"/>
        <w:jc w:val="center"/>
      </w:pPr>
      <w:r>
        <w:t>ОБЛАСТЬ, Г. ВОЛГОГРАД, ТРАКТОРОЗАВОДСКИЙ РАЙОН,</w:t>
      </w:r>
    </w:p>
    <w:p w:rsidR="006B5BDF" w:rsidRDefault="006B5BDF">
      <w:pPr>
        <w:pStyle w:val="ConsPlusTitle"/>
        <w:jc w:val="center"/>
      </w:pPr>
      <w:r>
        <w:t>УЛ. МОГИЛЕВИЧА, 2А</w:t>
      </w:r>
    </w:p>
    <w:p w:rsidR="006B5BDF" w:rsidRDefault="006B5BDF">
      <w:pPr>
        <w:pStyle w:val="ConsPlusNormal"/>
        <w:jc w:val="both"/>
      </w:pPr>
    </w:p>
    <w:p w:rsidR="006B5BDF" w:rsidRDefault="006B5BDF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6" w:history="1">
        <w:r>
          <w:rPr>
            <w:color w:val="0000FF"/>
          </w:rPr>
          <w:t>статьей 3.1</w:t>
        </w:r>
      </w:hyperlink>
      <w:r>
        <w:t xml:space="preserve">, </w:t>
      </w:r>
      <w:hyperlink r:id="rId7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</w:t>
      </w:r>
      <w:proofErr w:type="gramEnd"/>
      <w:r>
        <w:t xml:space="preserve">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6B5BDF" w:rsidRDefault="006B5BDF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5" w:history="1">
        <w:r>
          <w:rPr>
            <w:color w:val="0000FF"/>
          </w:rPr>
          <w:t>перечень</w:t>
        </w:r>
      </w:hyperlink>
      <w:r>
        <w:t xml:space="preserve"> </w:t>
      </w:r>
      <w:proofErr w:type="gramStart"/>
      <w:r>
        <w:t>координат характерных точек границ территории объекта культурного наследия регионального</w:t>
      </w:r>
      <w:proofErr w:type="gramEnd"/>
      <w:r>
        <w:t xml:space="preserve"> значения "Проходные стадиона СТЗ (ВГТЗ) "Трактор", расположенного по адресу: </w:t>
      </w:r>
      <w:proofErr w:type="gramStart"/>
      <w:r>
        <w:t xml:space="preserve">Волгоградская область, г. Волгоград, Тракторозаводский район, ул. Могилевича, 2а, утвержденных </w:t>
      </w:r>
      <w:hyperlink r:id="rId10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25 июня 2013 г. N 01-20/203 "Об установлении границ территории объекта культурного наследия регионального значения "</w:t>
      </w:r>
      <w:bookmarkStart w:id="0" w:name="_GoBack"/>
      <w:r>
        <w:t>Проходные стадиона СТЗ</w:t>
      </w:r>
      <w:bookmarkEnd w:id="0"/>
      <w:r>
        <w:t>/ВГТЗ/"Трактор", 1953 - 1955 гг., расположенного по адресу: г. Волгоград, ул. им. Могилевича, 2а, и установлении правовых режимов использования территории", согласно приложению к настоящему приказу.</w:t>
      </w:r>
      <w:proofErr w:type="gramEnd"/>
    </w:p>
    <w:p w:rsidR="006B5BDF" w:rsidRDefault="006B5BDF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Направить копию настоящего приказа в комитет культуры Волгоградской области в целях признания </w:t>
      </w:r>
      <w:hyperlink r:id="rId11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25 июня 2013 г. N 01-20/203 "Об установлении границ территории объекта культурного наследия регионального значения "Проходные стадиона СТЗ/ВГТЗ/"Трактор", 1953 - 1955 гг., расположенного по адресу: г. Волгоград, ул. им. Могилевича, 2а, и установлении правовых режимов использования территории</w:t>
      </w:r>
      <w:proofErr w:type="gramEnd"/>
      <w:r>
        <w:t xml:space="preserve">" </w:t>
      </w:r>
      <w:proofErr w:type="gramStart"/>
      <w:r>
        <w:t>утратившим</w:t>
      </w:r>
      <w:proofErr w:type="gramEnd"/>
      <w:r>
        <w:t xml:space="preserve"> силу.</w:t>
      </w:r>
    </w:p>
    <w:p w:rsidR="006B5BDF" w:rsidRDefault="006B5BDF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6B5BDF" w:rsidRDefault="006B5BDF">
      <w:pPr>
        <w:pStyle w:val="ConsPlusNormal"/>
        <w:jc w:val="both"/>
      </w:pPr>
    </w:p>
    <w:p w:rsidR="006B5BDF" w:rsidRDefault="006B5BDF">
      <w:pPr>
        <w:pStyle w:val="ConsPlusNormal"/>
        <w:jc w:val="right"/>
      </w:pPr>
      <w:r>
        <w:t>Председатель комитета</w:t>
      </w:r>
    </w:p>
    <w:p w:rsidR="006B5BDF" w:rsidRDefault="006B5BDF">
      <w:pPr>
        <w:pStyle w:val="ConsPlusNormal"/>
        <w:jc w:val="right"/>
      </w:pPr>
      <w:r>
        <w:t>А.Ю.БАЖЕНОВ</w:t>
      </w:r>
    </w:p>
    <w:p w:rsidR="006B5BDF" w:rsidRDefault="006B5BDF">
      <w:pPr>
        <w:pStyle w:val="ConsPlusNormal"/>
        <w:jc w:val="both"/>
      </w:pPr>
    </w:p>
    <w:p w:rsidR="006B5BDF" w:rsidRDefault="006B5BDF">
      <w:pPr>
        <w:pStyle w:val="ConsPlusNormal"/>
        <w:jc w:val="both"/>
      </w:pPr>
    </w:p>
    <w:p w:rsidR="006B5BDF" w:rsidRDefault="006B5BDF">
      <w:pPr>
        <w:pStyle w:val="ConsPlusNormal"/>
        <w:jc w:val="both"/>
      </w:pPr>
    </w:p>
    <w:p w:rsidR="006B5BDF" w:rsidRDefault="006B5BDF">
      <w:pPr>
        <w:pStyle w:val="ConsPlusNormal"/>
        <w:jc w:val="both"/>
      </w:pPr>
    </w:p>
    <w:p w:rsidR="006B5BDF" w:rsidRDefault="006B5BDF">
      <w:pPr>
        <w:pStyle w:val="ConsPlusNormal"/>
        <w:jc w:val="both"/>
      </w:pPr>
    </w:p>
    <w:p w:rsidR="006B5BDF" w:rsidRDefault="006B5BDF">
      <w:pPr>
        <w:pStyle w:val="ConsPlusNormal"/>
        <w:jc w:val="right"/>
        <w:outlineLvl w:val="0"/>
      </w:pPr>
      <w:r>
        <w:t>Приложение</w:t>
      </w:r>
    </w:p>
    <w:p w:rsidR="006B5BDF" w:rsidRDefault="006B5BDF">
      <w:pPr>
        <w:pStyle w:val="ConsPlusNormal"/>
        <w:jc w:val="right"/>
      </w:pPr>
      <w:r>
        <w:t>к приказу</w:t>
      </w:r>
    </w:p>
    <w:p w:rsidR="006B5BDF" w:rsidRDefault="006B5BDF">
      <w:pPr>
        <w:pStyle w:val="ConsPlusNormal"/>
        <w:jc w:val="right"/>
      </w:pPr>
      <w:r>
        <w:t>комитета</w:t>
      </w:r>
    </w:p>
    <w:p w:rsidR="006B5BDF" w:rsidRDefault="006B5BDF">
      <w:pPr>
        <w:pStyle w:val="ConsPlusNormal"/>
        <w:jc w:val="right"/>
      </w:pPr>
      <w:r>
        <w:t>государственной</w:t>
      </w:r>
    </w:p>
    <w:p w:rsidR="006B5BDF" w:rsidRDefault="006B5BDF">
      <w:pPr>
        <w:pStyle w:val="ConsPlusNormal"/>
        <w:jc w:val="right"/>
      </w:pPr>
      <w:r>
        <w:lastRenderedPageBreak/>
        <w:t>охраны объектов</w:t>
      </w:r>
    </w:p>
    <w:p w:rsidR="006B5BDF" w:rsidRDefault="006B5BDF">
      <w:pPr>
        <w:pStyle w:val="ConsPlusNormal"/>
        <w:jc w:val="right"/>
      </w:pPr>
      <w:r>
        <w:t>культурного наследия</w:t>
      </w:r>
    </w:p>
    <w:p w:rsidR="006B5BDF" w:rsidRDefault="006B5BDF">
      <w:pPr>
        <w:pStyle w:val="ConsPlusNormal"/>
        <w:jc w:val="right"/>
      </w:pPr>
      <w:r>
        <w:t>Волгоградской области</w:t>
      </w:r>
    </w:p>
    <w:p w:rsidR="006B5BDF" w:rsidRDefault="006B5BDF">
      <w:pPr>
        <w:pStyle w:val="ConsPlusNormal"/>
        <w:jc w:val="right"/>
      </w:pPr>
      <w:r>
        <w:t>от 17.02.2021 N 92</w:t>
      </w:r>
    </w:p>
    <w:p w:rsidR="006B5BDF" w:rsidRDefault="006B5BDF">
      <w:pPr>
        <w:pStyle w:val="ConsPlusNormal"/>
        <w:jc w:val="both"/>
      </w:pPr>
    </w:p>
    <w:p w:rsidR="006B5BDF" w:rsidRDefault="006B5BDF">
      <w:pPr>
        <w:pStyle w:val="ConsPlusTitle"/>
        <w:jc w:val="center"/>
      </w:pPr>
      <w:bookmarkStart w:id="1" w:name="P35"/>
      <w:bookmarkEnd w:id="1"/>
      <w:r>
        <w:t>ПЕРЕЧЕНЬ</w:t>
      </w:r>
    </w:p>
    <w:p w:rsidR="006B5BDF" w:rsidRDefault="006B5BDF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6B5BDF" w:rsidRDefault="006B5BDF">
      <w:pPr>
        <w:pStyle w:val="ConsPlusTitle"/>
        <w:jc w:val="center"/>
      </w:pPr>
      <w:r>
        <w:t>КУЛЬТУРНОГО НАСЛЕДИЯ РЕГИОНАЛЬНОГО ЗНАЧЕНИЯ "ПРОХОДНЫЕ</w:t>
      </w:r>
    </w:p>
    <w:p w:rsidR="006B5BDF" w:rsidRDefault="006B5BDF">
      <w:pPr>
        <w:pStyle w:val="ConsPlusTitle"/>
        <w:jc w:val="center"/>
      </w:pPr>
      <w:r>
        <w:t>СТАДИОНА СТЗ (ВГТЗ) "ТРАКТОР", РАСПОЛОЖЕННОГО ПО АДРЕСУ:</w:t>
      </w:r>
    </w:p>
    <w:p w:rsidR="006B5BDF" w:rsidRDefault="006B5BDF">
      <w:pPr>
        <w:pStyle w:val="ConsPlusTitle"/>
        <w:jc w:val="center"/>
      </w:pPr>
      <w:r>
        <w:t>ВОЛГОГРАДСКАЯ ОБЛАСТЬ, Г. ВОЛГОГРАД, ТРАКТОРОЗАВОДСКИЙ</w:t>
      </w:r>
    </w:p>
    <w:p w:rsidR="006B5BDF" w:rsidRDefault="006B5BDF">
      <w:pPr>
        <w:pStyle w:val="ConsPlusTitle"/>
        <w:jc w:val="center"/>
      </w:pPr>
      <w:r>
        <w:t>РАЙОН, УЛ. МОГИЛЕВИЧА, 2А</w:t>
      </w:r>
    </w:p>
    <w:p w:rsidR="006B5BDF" w:rsidRDefault="006B5BDF">
      <w:pPr>
        <w:pStyle w:val="ConsPlusNormal"/>
        <w:jc w:val="both"/>
      </w:pPr>
    </w:p>
    <w:p w:rsidR="006B5BDF" w:rsidRDefault="006B5BDF">
      <w:pPr>
        <w:pStyle w:val="ConsPlusTitle"/>
        <w:jc w:val="center"/>
        <w:outlineLvl w:val="1"/>
      </w:pPr>
      <w:r>
        <w:t>Система координат: местная городская СК</w:t>
      </w:r>
    </w:p>
    <w:p w:rsidR="006B5BDF" w:rsidRDefault="006B5BDF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2267"/>
        <w:gridCol w:w="2267"/>
        <w:gridCol w:w="2267"/>
      </w:tblGrid>
      <w:tr w:rsidR="006B5BDF">
        <w:tc>
          <w:tcPr>
            <w:tcW w:w="2267" w:type="dxa"/>
          </w:tcPr>
          <w:p w:rsidR="006B5BDF" w:rsidRDefault="006B5BDF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267" w:type="dxa"/>
          </w:tcPr>
          <w:p w:rsidR="006B5BDF" w:rsidRDefault="006B5BDF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267" w:type="dxa"/>
          </w:tcPr>
          <w:p w:rsidR="006B5BDF" w:rsidRDefault="006B5BDF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7" w:type="dxa"/>
          </w:tcPr>
          <w:p w:rsidR="006B5BDF" w:rsidRDefault="006B5BDF">
            <w:pPr>
              <w:pStyle w:val="ConsPlusNormal"/>
              <w:jc w:val="center"/>
            </w:pPr>
            <w:r>
              <w:t>У</w:t>
            </w:r>
          </w:p>
        </w:tc>
      </w:tr>
      <w:tr w:rsidR="006B5BDF">
        <w:tc>
          <w:tcPr>
            <w:tcW w:w="2267" w:type="dxa"/>
          </w:tcPr>
          <w:p w:rsidR="006B5BDF" w:rsidRDefault="006B5BDF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2267" w:type="dxa"/>
          </w:tcPr>
          <w:p w:rsidR="006B5BDF" w:rsidRDefault="006B5BDF">
            <w:pPr>
              <w:pStyle w:val="ConsPlusNormal"/>
            </w:pPr>
          </w:p>
        </w:tc>
        <w:tc>
          <w:tcPr>
            <w:tcW w:w="2267" w:type="dxa"/>
          </w:tcPr>
          <w:p w:rsidR="006B5BDF" w:rsidRDefault="006B5BDF">
            <w:pPr>
              <w:pStyle w:val="ConsPlusNormal"/>
              <w:jc w:val="center"/>
            </w:pPr>
            <w:r>
              <w:t>10056,21</w:t>
            </w:r>
          </w:p>
        </w:tc>
        <w:tc>
          <w:tcPr>
            <w:tcW w:w="2267" w:type="dxa"/>
          </w:tcPr>
          <w:p w:rsidR="006B5BDF" w:rsidRDefault="006B5BDF">
            <w:pPr>
              <w:pStyle w:val="ConsPlusNormal"/>
              <w:jc w:val="center"/>
            </w:pPr>
            <w:r>
              <w:t>6162,52</w:t>
            </w:r>
          </w:p>
        </w:tc>
      </w:tr>
      <w:tr w:rsidR="006B5BDF">
        <w:tc>
          <w:tcPr>
            <w:tcW w:w="2267" w:type="dxa"/>
          </w:tcPr>
          <w:p w:rsidR="006B5BDF" w:rsidRDefault="006B5BDF">
            <w:pPr>
              <w:pStyle w:val="ConsPlusNormal"/>
            </w:pPr>
          </w:p>
        </w:tc>
        <w:tc>
          <w:tcPr>
            <w:tcW w:w="2267" w:type="dxa"/>
          </w:tcPr>
          <w:p w:rsidR="006B5BDF" w:rsidRDefault="006B5BDF">
            <w:pPr>
              <w:pStyle w:val="ConsPlusNormal"/>
              <w:jc w:val="center"/>
            </w:pPr>
            <w:r>
              <w:t>68,73</w:t>
            </w:r>
          </w:p>
        </w:tc>
        <w:tc>
          <w:tcPr>
            <w:tcW w:w="2267" w:type="dxa"/>
          </w:tcPr>
          <w:p w:rsidR="006B5BDF" w:rsidRDefault="006B5BDF">
            <w:pPr>
              <w:pStyle w:val="ConsPlusNormal"/>
            </w:pPr>
          </w:p>
        </w:tc>
        <w:tc>
          <w:tcPr>
            <w:tcW w:w="2267" w:type="dxa"/>
          </w:tcPr>
          <w:p w:rsidR="006B5BDF" w:rsidRDefault="006B5BDF">
            <w:pPr>
              <w:pStyle w:val="ConsPlusNormal"/>
            </w:pPr>
          </w:p>
        </w:tc>
      </w:tr>
      <w:tr w:rsidR="006B5BDF">
        <w:tc>
          <w:tcPr>
            <w:tcW w:w="2267" w:type="dxa"/>
          </w:tcPr>
          <w:p w:rsidR="006B5BDF" w:rsidRDefault="006B5BDF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2267" w:type="dxa"/>
          </w:tcPr>
          <w:p w:rsidR="006B5BDF" w:rsidRDefault="006B5BDF">
            <w:pPr>
              <w:pStyle w:val="ConsPlusNormal"/>
            </w:pPr>
          </w:p>
        </w:tc>
        <w:tc>
          <w:tcPr>
            <w:tcW w:w="2267" w:type="dxa"/>
          </w:tcPr>
          <w:p w:rsidR="006B5BDF" w:rsidRDefault="006B5BDF">
            <w:pPr>
              <w:pStyle w:val="ConsPlusNormal"/>
              <w:jc w:val="center"/>
            </w:pPr>
            <w:r>
              <w:t>10124,94</w:t>
            </w:r>
          </w:p>
        </w:tc>
        <w:tc>
          <w:tcPr>
            <w:tcW w:w="2267" w:type="dxa"/>
          </w:tcPr>
          <w:p w:rsidR="006B5BDF" w:rsidRDefault="006B5BDF">
            <w:pPr>
              <w:pStyle w:val="ConsPlusNormal"/>
              <w:jc w:val="center"/>
            </w:pPr>
            <w:r>
              <w:t>6163,01</w:t>
            </w:r>
          </w:p>
        </w:tc>
      </w:tr>
      <w:tr w:rsidR="006B5BDF">
        <w:tc>
          <w:tcPr>
            <w:tcW w:w="2267" w:type="dxa"/>
          </w:tcPr>
          <w:p w:rsidR="006B5BDF" w:rsidRDefault="006B5BDF">
            <w:pPr>
              <w:pStyle w:val="ConsPlusNormal"/>
            </w:pPr>
          </w:p>
        </w:tc>
        <w:tc>
          <w:tcPr>
            <w:tcW w:w="2267" w:type="dxa"/>
          </w:tcPr>
          <w:p w:rsidR="006B5BDF" w:rsidRDefault="006B5BDF">
            <w:pPr>
              <w:pStyle w:val="ConsPlusNormal"/>
              <w:jc w:val="center"/>
            </w:pPr>
            <w:r>
              <w:t>20,08</w:t>
            </w:r>
          </w:p>
        </w:tc>
        <w:tc>
          <w:tcPr>
            <w:tcW w:w="2267" w:type="dxa"/>
          </w:tcPr>
          <w:p w:rsidR="006B5BDF" w:rsidRDefault="006B5BDF">
            <w:pPr>
              <w:pStyle w:val="ConsPlusNormal"/>
            </w:pPr>
          </w:p>
        </w:tc>
        <w:tc>
          <w:tcPr>
            <w:tcW w:w="2267" w:type="dxa"/>
          </w:tcPr>
          <w:p w:rsidR="006B5BDF" w:rsidRDefault="006B5BDF">
            <w:pPr>
              <w:pStyle w:val="ConsPlusNormal"/>
            </w:pPr>
          </w:p>
        </w:tc>
      </w:tr>
      <w:tr w:rsidR="006B5BDF">
        <w:tc>
          <w:tcPr>
            <w:tcW w:w="2267" w:type="dxa"/>
          </w:tcPr>
          <w:p w:rsidR="006B5BDF" w:rsidRDefault="006B5BDF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267" w:type="dxa"/>
          </w:tcPr>
          <w:p w:rsidR="006B5BDF" w:rsidRDefault="006B5BDF">
            <w:pPr>
              <w:pStyle w:val="ConsPlusNormal"/>
            </w:pPr>
          </w:p>
        </w:tc>
        <w:tc>
          <w:tcPr>
            <w:tcW w:w="2267" w:type="dxa"/>
          </w:tcPr>
          <w:p w:rsidR="006B5BDF" w:rsidRDefault="006B5BDF">
            <w:pPr>
              <w:pStyle w:val="ConsPlusNormal"/>
              <w:jc w:val="center"/>
            </w:pPr>
            <w:r>
              <w:t>10124,87</w:t>
            </w:r>
          </w:p>
        </w:tc>
        <w:tc>
          <w:tcPr>
            <w:tcW w:w="2267" w:type="dxa"/>
          </w:tcPr>
          <w:p w:rsidR="006B5BDF" w:rsidRDefault="006B5BDF">
            <w:pPr>
              <w:pStyle w:val="ConsPlusNormal"/>
              <w:jc w:val="center"/>
            </w:pPr>
            <w:r>
              <w:t>6183,09</w:t>
            </w:r>
          </w:p>
        </w:tc>
      </w:tr>
      <w:tr w:rsidR="006B5BDF">
        <w:tc>
          <w:tcPr>
            <w:tcW w:w="2267" w:type="dxa"/>
          </w:tcPr>
          <w:p w:rsidR="006B5BDF" w:rsidRDefault="006B5BDF">
            <w:pPr>
              <w:pStyle w:val="ConsPlusNormal"/>
            </w:pPr>
          </w:p>
        </w:tc>
        <w:tc>
          <w:tcPr>
            <w:tcW w:w="2267" w:type="dxa"/>
          </w:tcPr>
          <w:p w:rsidR="006B5BDF" w:rsidRDefault="006B5BDF">
            <w:pPr>
              <w:pStyle w:val="ConsPlusNormal"/>
              <w:jc w:val="center"/>
            </w:pPr>
            <w:r>
              <w:t>69,18</w:t>
            </w:r>
          </w:p>
        </w:tc>
        <w:tc>
          <w:tcPr>
            <w:tcW w:w="2267" w:type="dxa"/>
          </w:tcPr>
          <w:p w:rsidR="006B5BDF" w:rsidRDefault="006B5BDF">
            <w:pPr>
              <w:pStyle w:val="ConsPlusNormal"/>
            </w:pPr>
          </w:p>
        </w:tc>
        <w:tc>
          <w:tcPr>
            <w:tcW w:w="2267" w:type="dxa"/>
          </w:tcPr>
          <w:p w:rsidR="006B5BDF" w:rsidRDefault="006B5BDF">
            <w:pPr>
              <w:pStyle w:val="ConsPlusNormal"/>
            </w:pPr>
          </w:p>
        </w:tc>
      </w:tr>
      <w:tr w:rsidR="006B5BDF">
        <w:tc>
          <w:tcPr>
            <w:tcW w:w="2267" w:type="dxa"/>
          </w:tcPr>
          <w:p w:rsidR="006B5BDF" w:rsidRDefault="006B5BDF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2267" w:type="dxa"/>
          </w:tcPr>
          <w:p w:rsidR="006B5BDF" w:rsidRDefault="006B5BDF">
            <w:pPr>
              <w:pStyle w:val="ConsPlusNormal"/>
            </w:pPr>
          </w:p>
        </w:tc>
        <w:tc>
          <w:tcPr>
            <w:tcW w:w="2267" w:type="dxa"/>
          </w:tcPr>
          <w:p w:rsidR="006B5BDF" w:rsidRDefault="006B5BDF">
            <w:pPr>
              <w:pStyle w:val="ConsPlusNormal"/>
              <w:jc w:val="center"/>
            </w:pPr>
            <w:r>
              <w:t>10055,69</w:t>
            </w:r>
          </w:p>
        </w:tc>
        <w:tc>
          <w:tcPr>
            <w:tcW w:w="2267" w:type="dxa"/>
          </w:tcPr>
          <w:p w:rsidR="006B5BDF" w:rsidRDefault="006B5BDF">
            <w:pPr>
              <w:pStyle w:val="ConsPlusNormal"/>
              <w:jc w:val="center"/>
            </w:pPr>
            <w:r>
              <w:t>6182,6</w:t>
            </w:r>
          </w:p>
        </w:tc>
      </w:tr>
      <w:tr w:rsidR="006B5BDF">
        <w:tc>
          <w:tcPr>
            <w:tcW w:w="2267" w:type="dxa"/>
          </w:tcPr>
          <w:p w:rsidR="006B5BDF" w:rsidRDefault="006B5BDF">
            <w:pPr>
              <w:pStyle w:val="ConsPlusNormal"/>
            </w:pPr>
          </w:p>
        </w:tc>
        <w:tc>
          <w:tcPr>
            <w:tcW w:w="2267" w:type="dxa"/>
          </w:tcPr>
          <w:p w:rsidR="006B5BDF" w:rsidRDefault="006B5BDF">
            <w:pPr>
              <w:pStyle w:val="ConsPlusNormal"/>
              <w:jc w:val="center"/>
            </w:pPr>
            <w:r>
              <w:t>20,09</w:t>
            </w:r>
          </w:p>
        </w:tc>
        <w:tc>
          <w:tcPr>
            <w:tcW w:w="2267" w:type="dxa"/>
          </w:tcPr>
          <w:p w:rsidR="006B5BDF" w:rsidRDefault="006B5BDF">
            <w:pPr>
              <w:pStyle w:val="ConsPlusNormal"/>
            </w:pPr>
          </w:p>
        </w:tc>
        <w:tc>
          <w:tcPr>
            <w:tcW w:w="2267" w:type="dxa"/>
          </w:tcPr>
          <w:p w:rsidR="006B5BDF" w:rsidRDefault="006B5BDF">
            <w:pPr>
              <w:pStyle w:val="ConsPlusNormal"/>
            </w:pPr>
          </w:p>
        </w:tc>
      </w:tr>
      <w:tr w:rsidR="006B5BDF">
        <w:tc>
          <w:tcPr>
            <w:tcW w:w="2267" w:type="dxa"/>
          </w:tcPr>
          <w:p w:rsidR="006B5BDF" w:rsidRDefault="006B5BDF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2267" w:type="dxa"/>
          </w:tcPr>
          <w:p w:rsidR="006B5BDF" w:rsidRDefault="006B5BDF">
            <w:pPr>
              <w:pStyle w:val="ConsPlusNormal"/>
            </w:pPr>
          </w:p>
        </w:tc>
        <w:tc>
          <w:tcPr>
            <w:tcW w:w="2267" w:type="dxa"/>
          </w:tcPr>
          <w:p w:rsidR="006B5BDF" w:rsidRDefault="006B5BDF">
            <w:pPr>
              <w:pStyle w:val="ConsPlusNormal"/>
              <w:jc w:val="center"/>
            </w:pPr>
            <w:r>
              <w:t>10056,21</w:t>
            </w:r>
          </w:p>
        </w:tc>
        <w:tc>
          <w:tcPr>
            <w:tcW w:w="2267" w:type="dxa"/>
          </w:tcPr>
          <w:p w:rsidR="006B5BDF" w:rsidRDefault="006B5BDF">
            <w:pPr>
              <w:pStyle w:val="ConsPlusNormal"/>
              <w:jc w:val="center"/>
            </w:pPr>
            <w:r>
              <w:t>6162,52</w:t>
            </w:r>
          </w:p>
        </w:tc>
      </w:tr>
    </w:tbl>
    <w:p w:rsidR="006B5BDF" w:rsidRDefault="006B5BDF">
      <w:pPr>
        <w:pStyle w:val="ConsPlusNormal"/>
        <w:jc w:val="both"/>
      </w:pPr>
    </w:p>
    <w:p w:rsidR="006B5BDF" w:rsidRDefault="006B5BDF">
      <w:pPr>
        <w:pStyle w:val="ConsPlusTitle"/>
        <w:jc w:val="center"/>
        <w:outlineLvl w:val="1"/>
      </w:pPr>
      <w:r>
        <w:t>Система координат: WGS 84</w:t>
      </w:r>
    </w:p>
    <w:p w:rsidR="006B5BDF" w:rsidRDefault="006B5BDF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3401"/>
        <w:gridCol w:w="3401"/>
      </w:tblGrid>
      <w:tr w:rsidR="006B5BDF">
        <w:tc>
          <w:tcPr>
            <w:tcW w:w="2267" w:type="dxa"/>
          </w:tcPr>
          <w:p w:rsidR="006B5BDF" w:rsidRDefault="006B5BDF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1" w:type="dxa"/>
          </w:tcPr>
          <w:p w:rsidR="006B5BDF" w:rsidRDefault="006B5BDF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401" w:type="dxa"/>
          </w:tcPr>
          <w:p w:rsidR="006B5BDF" w:rsidRDefault="006B5BDF">
            <w:pPr>
              <w:pStyle w:val="ConsPlusNormal"/>
              <w:jc w:val="center"/>
            </w:pPr>
            <w:r>
              <w:t>E</w:t>
            </w:r>
          </w:p>
        </w:tc>
      </w:tr>
      <w:tr w:rsidR="006B5BDF">
        <w:tc>
          <w:tcPr>
            <w:tcW w:w="2267" w:type="dxa"/>
          </w:tcPr>
          <w:p w:rsidR="006B5BDF" w:rsidRDefault="006B5BDF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3401" w:type="dxa"/>
          </w:tcPr>
          <w:p w:rsidR="006B5BDF" w:rsidRDefault="006B5BDF">
            <w:pPr>
              <w:pStyle w:val="ConsPlusNormal"/>
              <w:jc w:val="center"/>
            </w:pPr>
            <w:r>
              <w:t>48°48'0.79" С</w:t>
            </w:r>
          </w:p>
        </w:tc>
        <w:tc>
          <w:tcPr>
            <w:tcW w:w="3401" w:type="dxa"/>
          </w:tcPr>
          <w:p w:rsidR="006B5BDF" w:rsidRDefault="006B5BDF">
            <w:pPr>
              <w:pStyle w:val="ConsPlusNormal"/>
              <w:jc w:val="center"/>
            </w:pPr>
            <w:r>
              <w:t>44°35'39.43" В</w:t>
            </w:r>
          </w:p>
        </w:tc>
      </w:tr>
      <w:tr w:rsidR="006B5BDF">
        <w:tc>
          <w:tcPr>
            <w:tcW w:w="2267" w:type="dxa"/>
          </w:tcPr>
          <w:p w:rsidR="006B5BDF" w:rsidRDefault="006B5BDF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3401" w:type="dxa"/>
          </w:tcPr>
          <w:p w:rsidR="006B5BDF" w:rsidRDefault="006B5BDF">
            <w:pPr>
              <w:pStyle w:val="ConsPlusNormal"/>
              <w:jc w:val="center"/>
            </w:pPr>
            <w:r>
              <w:t>48°48'3.01" С</w:t>
            </w:r>
          </w:p>
        </w:tc>
        <w:tc>
          <w:tcPr>
            <w:tcW w:w="3401" w:type="dxa"/>
          </w:tcPr>
          <w:p w:rsidR="006B5BDF" w:rsidRDefault="006B5BDF">
            <w:pPr>
              <w:pStyle w:val="ConsPlusNormal"/>
              <w:jc w:val="center"/>
            </w:pPr>
            <w:r>
              <w:t>44°35'39.46" В</w:t>
            </w:r>
          </w:p>
        </w:tc>
      </w:tr>
      <w:tr w:rsidR="006B5BDF">
        <w:tc>
          <w:tcPr>
            <w:tcW w:w="2267" w:type="dxa"/>
          </w:tcPr>
          <w:p w:rsidR="006B5BDF" w:rsidRDefault="006B5BDF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401" w:type="dxa"/>
          </w:tcPr>
          <w:p w:rsidR="006B5BDF" w:rsidRDefault="006B5BDF">
            <w:pPr>
              <w:pStyle w:val="ConsPlusNormal"/>
              <w:jc w:val="center"/>
            </w:pPr>
            <w:r>
              <w:t>48°48'3.01" С</w:t>
            </w:r>
          </w:p>
        </w:tc>
        <w:tc>
          <w:tcPr>
            <w:tcW w:w="3401" w:type="dxa"/>
          </w:tcPr>
          <w:p w:rsidR="006B5BDF" w:rsidRDefault="006B5BDF">
            <w:pPr>
              <w:pStyle w:val="ConsPlusNormal"/>
              <w:jc w:val="center"/>
            </w:pPr>
            <w:r>
              <w:t>44°35'40.45" В</w:t>
            </w:r>
          </w:p>
        </w:tc>
      </w:tr>
      <w:tr w:rsidR="006B5BDF">
        <w:tc>
          <w:tcPr>
            <w:tcW w:w="2267" w:type="dxa"/>
          </w:tcPr>
          <w:p w:rsidR="006B5BDF" w:rsidRDefault="006B5BDF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3401" w:type="dxa"/>
          </w:tcPr>
          <w:p w:rsidR="006B5BDF" w:rsidRDefault="006B5BDF">
            <w:pPr>
              <w:pStyle w:val="ConsPlusNormal"/>
              <w:jc w:val="center"/>
            </w:pPr>
            <w:r>
              <w:t>48°48'0.77" С</w:t>
            </w:r>
          </w:p>
        </w:tc>
        <w:tc>
          <w:tcPr>
            <w:tcW w:w="3401" w:type="dxa"/>
          </w:tcPr>
          <w:p w:rsidR="006B5BDF" w:rsidRDefault="006B5BDF">
            <w:pPr>
              <w:pStyle w:val="ConsPlusNormal"/>
              <w:jc w:val="center"/>
            </w:pPr>
            <w:r>
              <w:t>44°35'40.42" В</w:t>
            </w:r>
          </w:p>
        </w:tc>
      </w:tr>
    </w:tbl>
    <w:p w:rsidR="006B5BDF" w:rsidRDefault="006B5BDF">
      <w:pPr>
        <w:pStyle w:val="ConsPlusNormal"/>
        <w:jc w:val="both"/>
      </w:pPr>
    </w:p>
    <w:p w:rsidR="006B5BDF" w:rsidRDefault="006B5BDF">
      <w:pPr>
        <w:pStyle w:val="ConsPlusNormal"/>
        <w:jc w:val="both"/>
      </w:pPr>
    </w:p>
    <w:p w:rsidR="006B5BDF" w:rsidRDefault="006B5BDF">
      <w:pPr>
        <w:pStyle w:val="ConsPlusNormal"/>
        <w:jc w:val="both"/>
      </w:pPr>
    </w:p>
    <w:p w:rsidR="006B5BDF" w:rsidRDefault="006B5BDF">
      <w:pPr>
        <w:pStyle w:val="ConsPlusNormal"/>
        <w:jc w:val="both"/>
      </w:pPr>
    </w:p>
    <w:p w:rsidR="006B5BDF" w:rsidRDefault="006B5BDF">
      <w:pPr>
        <w:pStyle w:val="ConsPlusNormal"/>
        <w:jc w:val="both"/>
      </w:pPr>
    </w:p>
    <w:p w:rsidR="006B5BDF" w:rsidRDefault="006B5BDF">
      <w:pPr>
        <w:pStyle w:val="ConsPlusTitle"/>
        <w:jc w:val="center"/>
        <w:outlineLvl w:val="0"/>
      </w:pPr>
      <w:r>
        <w:t>СИТУАЦИОННЫЙ ПЛАН</w:t>
      </w:r>
    </w:p>
    <w:p w:rsidR="006B5BDF" w:rsidRDefault="006B5BDF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6B5BDF" w:rsidRDefault="006B5BDF">
      <w:pPr>
        <w:pStyle w:val="ConsPlusTitle"/>
        <w:jc w:val="center"/>
      </w:pPr>
      <w:r>
        <w:t>ЗНАЧЕНИЯ "ПРОХОДНЫЕ СТАДИОНА СТЗ (ВГТЗ) "ТРАКТОР",</w:t>
      </w:r>
    </w:p>
    <w:p w:rsidR="006B5BDF" w:rsidRDefault="006B5BDF">
      <w:pPr>
        <w:pStyle w:val="ConsPlusTitle"/>
        <w:jc w:val="center"/>
      </w:pPr>
      <w:proofErr w:type="gramStart"/>
      <w:r>
        <w:lastRenderedPageBreak/>
        <w:t>РАСПОЛОЖЕННОГО</w:t>
      </w:r>
      <w:proofErr w:type="gramEnd"/>
      <w:r>
        <w:t xml:space="preserve"> ПО АДРЕСУ: ВОЛГОГРАДСКАЯ</w:t>
      </w:r>
    </w:p>
    <w:p w:rsidR="006B5BDF" w:rsidRDefault="006B5BDF">
      <w:pPr>
        <w:pStyle w:val="ConsPlusTitle"/>
        <w:jc w:val="center"/>
      </w:pPr>
      <w:r>
        <w:t>ОБЛАСТЬ, Г. ВОЛГОГРАД, ТРАКТОРОЗАВОДСКИЙ РАЙОН,</w:t>
      </w:r>
    </w:p>
    <w:p w:rsidR="006B5BDF" w:rsidRDefault="006B5BDF">
      <w:pPr>
        <w:pStyle w:val="ConsPlusTitle"/>
        <w:jc w:val="center"/>
      </w:pPr>
      <w:r>
        <w:t>УЛ. МОГИЛЕВИЧА, 2А</w:t>
      </w:r>
    </w:p>
    <w:p w:rsidR="006B5BDF" w:rsidRDefault="006B5BDF">
      <w:pPr>
        <w:pStyle w:val="ConsPlusNormal"/>
        <w:jc w:val="both"/>
      </w:pPr>
    </w:p>
    <w:p w:rsidR="006B5BDF" w:rsidRDefault="006B5BDF">
      <w:pPr>
        <w:pStyle w:val="ConsPlusNormal"/>
        <w:jc w:val="center"/>
      </w:pPr>
      <w:r w:rsidRPr="00042CA2">
        <w:rPr>
          <w:position w:val="-278"/>
        </w:rPr>
        <w:pict>
          <v:shape id="_x0000_i1025" style="width:375pt;height:289.8pt" coordsize="" o:spt="100" adj="0,,0" path="" filled="f" stroked="f">
            <v:stroke joinstyle="miter"/>
            <v:imagedata r:id="rId12" o:title="base_23732_221872_32768"/>
            <v:formulas/>
            <v:path o:connecttype="segments"/>
          </v:shape>
        </w:pict>
      </w:r>
    </w:p>
    <w:p w:rsidR="006B5BDF" w:rsidRDefault="006B5BDF">
      <w:pPr>
        <w:pStyle w:val="ConsPlusNormal"/>
        <w:jc w:val="both"/>
      </w:pPr>
    </w:p>
    <w:p w:rsidR="006B5BDF" w:rsidRDefault="006B5BDF">
      <w:pPr>
        <w:pStyle w:val="ConsPlusNormal"/>
        <w:jc w:val="both"/>
      </w:pPr>
    </w:p>
    <w:p w:rsidR="006B5BDF" w:rsidRDefault="006B5BD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B5BDF" w:rsidRDefault="006B5BDF"/>
    <w:sectPr w:rsidR="006B5BDF" w:rsidSect="00AC7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BDF"/>
    <w:rsid w:val="006B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5B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B5B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B5B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5B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B5B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B5B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027BAE1084D691ABFA3F274D90151B77371E5B8D7B34F1392A489F6B514D18CB9AC76F9347287335E04B436F2DB6842876CE7D2DA6F38C678e8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027BAE1084D691ABFA3F274D90151B7717EE2BEDFB14F1392A489F6B514D18CB9AC76FD33728C640B4BB56AB6887B42826CE5D1C676eCO" TargetMode="External"/><Relationship Id="rId12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027BAE1084D691ABFA3F274D90151B7717EE2BEDFB14F1392A489F6B514D18CB9AC76FA33718C640B4BB56AB6887B42826CE5D1C676eCO" TargetMode="External"/><Relationship Id="rId11" Type="http://schemas.openxmlformats.org/officeDocument/2006/relationships/hyperlink" Target="consultantplus://offline/ref=E027BAE1084D691ABFA3EC79CF6D0EB27272BEB4DFB24C43C6FBD2ABE21DDBDBFEE32FBB707F86305A0FE167BDDA3406D47FE7D7DA6D3BDA8B668F7Be7O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E027BAE1084D691ABFA3EC79CF6D0EB27272BEB4DFB24C43C6FBD2ABE21DDBDBFEE32FA970278A305C11E064A88C654078e0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027BAE1084D691ABFA3EC79CF6D0EB27272BEB4D6BD4C44CAF58FA1EA44D7D9F9EC70AC77368A315A0FE066B6853113C527EAD1C27338C797648DB476eA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655</Words>
  <Characters>3734</Characters>
  <Application>Microsoft Office Word</Application>
  <DocSecurity>0</DocSecurity>
  <Lines>31</Lines>
  <Paragraphs>8</Paragraphs>
  <ScaleCrop>false</ScaleCrop>
  <Company/>
  <LinksUpToDate>false</LinksUpToDate>
  <CharactersWithSpaces>4381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2021-03-06T14:30:00Z</dcterms:created>
  <dcterms:modified xsi:type="dcterms:W3CDTF">2021-03-06T14:31:00Z</dcterms:modified>
</cp:coreProperties>
</file>