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5D" w:rsidRDefault="00E821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15D" w:rsidRDefault="00E8215D">
      <w:pPr>
        <w:pStyle w:val="ConsPlusNormal"/>
        <w:outlineLvl w:val="0"/>
      </w:pPr>
    </w:p>
    <w:p w:rsidR="00E8215D" w:rsidRDefault="00E8215D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:rsidR="00E8215D" w:rsidRDefault="00E8215D">
      <w:pPr>
        <w:pStyle w:val="ConsPlusTitle"/>
        <w:jc w:val="center"/>
      </w:pPr>
    </w:p>
    <w:p w:rsidR="00E8215D" w:rsidRDefault="00E8215D">
      <w:pPr>
        <w:pStyle w:val="ConsPlusTitle"/>
        <w:jc w:val="center"/>
      </w:pPr>
      <w:r>
        <w:t>ПРИКАЗ</w:t>
      </w:r>
    </w:p>
    <w:p w:rsidR="00E8215D" w:rsidRDefault="00E8215D">
      <w:pPr>
        <w:pStyle w:val="ConsPlusTitle"/>
        <w:jc w:val="center"/>
      </w:pPr>
      <w:r>
        <w:t>от 22 октября 2012 г. N 01-20/322</w:t>
      </w:r>
    </w:p>
    <w:p w:rsidR="00E8215D" w:rsidRDefault="00E8215D">
      <w:pPr>
        <w:pStyle w:val="ConsPlusTitle"/>
        <w:jc w:val="center"/>
      </w:pPr>
    </w:p>
    <w:p w:rsidR="00E8215D" w:rsidRDefault="00E8215D">
      <w:pPr>
        <w:pStyle w:val="ConsPlusTitle"/>
        <w:jc w:val="center"/>
      </w:pPr>
      <w:r>
        <w:t>ОБ УТВЕРЖДЕНИИ ОПИСАНИЯ ОСОБЕННОСТЕЙ, ПОСЛУЖИВШИХ</w:t>
      </w:r>
    </w:p>
    <w:p w:rsidR="00E8215D" w:rsidRDefault="00E8215D">
      <w:pPr>
        <w:pStyle w:val="ConsPlusTitle"/>
        <w:jc w:val="center"/>
      </w:pPr>
      <w:r>
        <w:t>ОСНОВАНИЯМИ ДЛЯ ВКЛЮЧЕНИЯ В РЕЕСТР И ПОДЛЕЖАЩИХ</w:t>
      </w:r>
    </w:p>
    <w:p w:rsidR="00E8215D" w:rsidRDefault="00E8215D">
      <w:pPr>
        <w:pStyle w:val="ConsPlusTitle"/>
        <w:jc w:val="center"/>
      </w:pPr>
      <w:r>
        <w:t>ОБЯЗАТЕЛЬНОМУ СОХРАНЕНИЮ (ПРЕДМЕТА ОХРАНЫ), ОБЪЕКТА</w:t>
      </w:r>
    </w:p>
    <w:p w:rsidR="00E8215D" w:rsidRDefault="00E8215D">
      <w:pPr>
        <w:pStyle w:val="ConsPlusTitle"/>
        <w:jc w:val="center"/>
      </w:pPr>
      <w:r>
        <w:t>КУЛЬТУРНОГО НАСЛЕДИЯ РЕГИОНАЛЬНОГО ЗНАЧЕНИЯ</w:t>
      </w:r>
    </w:p>
    <w:p w:rsidR="00E8215D" w:rsidRDefault="00E8215D">
      <w:pPr>
        <w:pStyle w:val="ConsPlusTitle"/>
        <w:jc w:val="center"/>
      </w:pPr>
      <w:r>
        <w:t>"4-Я ЖЕНСКАЯ ГИМНАЗИЯ (КИНОТЕАТР "ГВАРДЕЕЦ")", НАЧ. ХХ В.</w:t>
      </w:r>
    </w:p>
    <w:p w:rsidR="00E8215D" w:rsidRDefault="00E82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15D" w:rsidRDefault="00E82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15D" w:rsidRDefault="00E821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культуры Волгоградской обл.</w:t>
            </w:r>
          </w:p>
          <w:p w:rsidR="00E8215D" w:rsidRDefault="00E8215D">
            <w:pPr>
              <w:pStyle w:val="ConsPlusNormal"/>
              <w:jc w:val="center"/>
            </w:pPr>
            <w:r>
              <w:rPr>
                <w:color w:val="392C69"/>
              </w:rPr>
              <w:t>от 27.02.2013 N 01-20/068)</w:t>
            </w:r>
          </w:p>
        </w:tc>
      </w:tr>
    </w:tbl>
    <w:p w:rsidR="00E8215D" w:rsidRDefault="00E8215D">
      <w:pPr>
        <w:pStyle w:val="ConsPlusNormal"/>
        <w:jc w:val="center"/>
      </w:pPr>
    </w:p>
    <w:p w:rsidR="00E8215D" w:rsidRDefault="00E821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едином государственном реестре объектов культурного наследия (памятниках истории и культуры) народов Российской Федерации, утвержденным приказом Минкультуры России от 3 октября 2011 г. N 954,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реестр и подлежащих обязательному сохранению (предмета охраны), объекта культурного наследия регионального значения "4-я женская гимназия (кинотеатр "Гвардеец")", нач. ХХ в., расположенного по адресу: Волгоградская область, г. Волгоград, Ворошиловский район, ул. Академическая, 3, согласно приложению.</w:t>
      </w:r>
    </w:p>
    <w:p w:rsidR="00E8215D" w:rsidRDefault="00E821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культуры Волгоградской обл. от 27.02.2013 N 01-20/068)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jc w:val="right"/>
      </w:pPr>
      <w:r>
        <w:t>Министр культуры</w:t>
      </w:r>
    </w:p>
    <w:p w:rsidR="00E8215D" w:rsidRDefault="00E8215D">
      <w:pPr>
        <w:pStyle w:val="ConsPlusNormal"/>
        <w:jc w:val="right"/>
      </w:pPr>
      <w:r>
        <w:t>Волгоградской области</w:t>
      </w:r>
    </w:p>
    <w:p w:rsidR="00E8215D" w:rsidRDefault="00E8215D">
      <w:pPr>
        <w:pStyle w:val="ConsPlusNormal"/>
        <w:jc w:val="right"/>
      </w:pPr>
      <w:r>
        <w:t>В.П.ГЕПФНЕР</w:t>
      </w: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jc w:val="right"/>
        <w:outlineLvl w:val="0"/>
      </w:pPr>
      <w:r>
        <w:t>Приложение</w:t>
      </w:r>
    </w:p>
    <w:p w:rsidR="00E8215D" w:rsidRDefault="00E8215D">
      <w:pPr>
        <w:pStyle w:val="ConsPlusNormal"/>
        <w:jc w:val="right"/>
      </w:pPr>
      <w:r>
        <w:t>к приказу</w:t>
      </w:r>
    </w:p>
    <w:p w:rsidR="00E8215D" w:rsidRDefault="00E8215D">
      <w:pPr>
        <w:pStyle w:val="ConsPlusNormal"/>
        <w:jc w:val="right"/>
      </w:pPr>
      <w:r>
        <w:t>министерства культуры</w:t>
      </w:r>
    </w:p>
    <w:p w:rsidR="00E8215D" w:rsidRDefault="00E8215D">
      <w:pPr>
        <w:pStyle w:val="ConsPlusNormal"/>
        <w:jc w:val="right"/>
      </w:pPr>
      <w:r>
        <w:t>Волгоградской области</w:t>
      </w:r>
    </w:p>
    <w:p w:rsidR="00E8215D" w:rsidRDefault="00E8215D">
      <w:pPr>
        <w:pStyle w:val="ConsPlusNormal"/>
        <w:jc w:val="right"/>
      </w:pPr>
      <w:r>
        <w:t>от 22 октября 2012 г. N 01-20/322</w:t>
      </w: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Title"/>
        <w:jc w:val="center"/>
      </w:pPr>
      <w:bookmarkStart w:id="0" w:name="P34"/>
      <w:bookmarkEnd w:id="0"/>
      <w:r>
        <w:t>ОПИСАНИЕ ОСОБЕННОСТЕЙ, ПОСЛУЖИВШИХ ОСНОВАНИЯМИ ДЛЯ ВКЛЮЧЕНИЯ</w:t>
      </w:r>
    </w:p>
    <w:p w:rsidR="00E8215D" w:rsidRDefault="00E8215D">
      <w:pPr>
        <w:pStyle w:val="ConsPlusTitle"/>
        <w:jc w:val="center"/>
      </w:pPr>
      <w:r>
        <w:t>В РЕЕСТР И ПОДЛЕЖАЩИХ ОБЯЗАТЕЛЬНОМУ СОХРАНЕНИЮ</w:t>
      </w:r>
    </w:p>
    <w:p w:rsidR="00E8215D" w:rsidRDefault="00E8215D">
      <w:pPr>
        <w:pStyle w:val="ConsPlusTitle"/>
        <w:jc w:val="center"/>
      </w:pPr>
      <w:r>
        <w:t>(ПРЕДМЕТА ОХРАНЫ), ОБЪЕКТА КУЛЬТУРНОГО НАСЛЕДИЯ</w:t>
      </w:r>
    </w:p>
    <w:p w:rsidR="00E8215D" w:rsidRDefault="00E8215D">
      <w:pPr>
        <w:pStyle w:val="ConsPlusTitle"/>
        <w:jc w:val="center"/>
      </w:pPr>
      <w:r>
        <w:t>РЕГИОНАЛЬНОГО ЗНАЧЕНИЯ "4-Я ЖЕНСКАЯ ГИМНАЗИЯ</w:t>
      </w:r>
    </w:p>
    <w:p w:rsidR="00E8215D" w:rsidRDefault="00E8215D">
      <w:pPr>
        <w:pStyle w:val="ConsPlusTitle"/>
        <w:jc w:val="center"/>
      </w:pPr>
      <w:r>
        <w:lastRenderedPageBreak/>
        <w:t>(КИНОТЕАТР "ГВАРДЕЕЦ")", НАЧ. ХХ В.</w:t>
      </w:r>
    </w:p>
    <w:p w:rsidR="00E8215D" w:rsidRDefault="00E82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15D" w:rsidRDefault="00E82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15D" w:rsidRDefault="00E821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культуры Волгоградской обл.</w:t>
            </w:r>
          </w:p>
          <w:p w:rsidR="00E8215D" w:rsidRDefault="00E8215D">
            <w:pPr>
              <w:pStyle w:val="ConsPlusNormal"/>
              <w:jc w:val="center"/>
            </w:pPr>
            <w:r>
              <w:rPr>
                <w:color w:val="392C69"/>
              </w:rPr>
              <w:t>от 27.02.2013 N 01-20/068)</w:t>
            </w:r>
          </w:p>
        </w:tc>
      </w:tr>
    </w:tbl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ind w:firstLine="540"/>
        <w:jc w:val="both"/>
      </w:pPr>
      <w:r>
        <w:t>Особенностями, послужившими основаниями для включения в реестр и подлежащими обязательному сохранению (предметом охраны), объекта культурного наследия регионального значения "4-я женская гимназия (кинотеатр "Гвардеец")", нач. ХХ в., являются:</w:t>
      </w:r>
    </w:p>
    <w:p w:rsidR="00E8215D" w:rsidRDefault="00E8215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культуры Волгоградской обл. от 27.02.2013 N 01-20/068)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градостроительная характеристика здания, фиксирующего угол квартала на пересечении улиц Рабоче-Крестьянской и Академической;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объемно-пространственная композиция прямоугольного в плане 2-этажного с подвалом и чердаком объема в 17 световых осей по главному фасаду, ориентированного по оси северо-запад - юго-восток; количество и осевое расположение оконных проемов на фасадах; осевое расположение главного входа на лицевом фасаде; полуциркульный в плане ризалит дворового фасада по центральной поперечной оси здания; габариты и вальмовая форма крыши;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материалы капитальных стен: капитальные стены из красного керамического кирпича на известково-песчаном растворе (частично восстановлены силикатным кирпичом); материал кровли - металл (под оцинкованные листы кровельной стали);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 xml:space="preserve">архитектурно-композиционное решение и художественное оформление фасадов, включая: главный (по улице Академической) и торцевые фасады, решенные в стиле "эклектика" с элементами "модерна" - выступающий оштукатуренный цоколь переменной высоты с бровкой в виде валика; горизонтальное членение, заданное сложнопрофилированными пилястрами с шагом через 2 световых оси; раскрепованные пилястры с подковообразными выступающими завершениями, декорированные наложением стреловидных элементов (бетон), решенных в стиле "модерн"; простые профилированные сандрики над сдвоенными оконными проемами 1-го этажа, образованные выпусками лекальных кирпичей; оформление проема главного входа штукатурными наличниками с завершениями, стилизованными под ионические капители, и сандриком с сухариками; оформление узких оконных проемов 2-го этажа: подоконный горельеф в виде объемного кирпичного "балясника", обрамление кирпичными наличниками в виде раскрепованных пилястр с высокими трехступенчатыми импостами, полуциркульный профилированный фронтон с барельефом в виде женской маски, вкомпонованной в раковину, и гирляндой под ним; оформление оконного проема над центральным входом (отличается наличием стилизованного "замка" на фронтоне и наличниками в виде висячих пилястр); декоративной продолжающие вертикали пилястр барельефы мужских масок, обрамленных раковинами, переплетенными лентами, растительными орнаментами, венком из дубовых листьев; венчающий карниз среднего выноса, поддерживаемый кирпичными сложнопрофилированными уступчатыми карнизами; лепные подвески карниза, совпадающие по ритму с пилястрами; аттиковый пояс главного фасада, разделенный пилястрами на 5 частей; декор части по центральной оси: вертикальный овальный проем с широким тянутым наличником, тянутое штукатурное обрамление с валютообразным завершением, лепная гирлянда под проемом, кирпичный декор пилястр со стреловидными элементами поверх, завершение в виде кирпичной полуциркульной арки с замковым элементом в виде скульптурной группы из человеческих фигур, маски, растительного орнамента; декор остальных частей аттикова пояса: круглые проемы с широким тянутым наличником, тянутые штукатурные обрамления, лепные декоративные элементы в виде вьющихся растений, цветов, плодов, бабочек, фризы с растительными орнаментами под оконными проемами, пирамидальные башенки над пилястрами и лучковые завершения частей аттика между ними; парапетные тумбы крыши, совпадающие по </w:t>
      </w:r>
      <w:r>
        <w:lastRenderedPageBreak/>
        <w:t>ритму с пилястрами;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дворовой фасад - цоколь с бровкой в виде валика; оконные проемы (заложены при восстановлении здания) с лучковыми клинчатыми перемычками; профилированные уступчатые сандрики проемов 1-го этажа; сандрики в виде "очелий" с проточками и стреловидными окончаниями; многоступенчатый междуэтажный пояс на уровне перекрытия 1-го этажа; уступчатый пояс под оконными проемами 2-го этажа; угловые пилястры, идентичные по решению пилястрам главного фасада; многоступенчатый венчающий карниз малого выноса с поребриком, поясом сложнопрофилированных фигурных кронштейнов и поясом с узкими горизонтальными филенками; металлическое фигурное парапетное ограждение;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характер обработки фасадной поверхности: открытая кирпичная кладка, за исключением накладных стреловидных декоративных элементов пилястр;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расположение, количество, конфигурация и габариты проемов;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капитальные стены, опорные конструкции, перекрытия и другие конструктивные элементы, формирующие несущий каркас здания, их расположение, конструкция и материалы на 1950 г.;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декоративное убранство интерьеров на период 1950 г., включая: 3 подлинные фигурные чугунные колонки конца XIX - нач. XX веков в помещениях подвалова N 12 и N 38 согласно плану БТИ (перенесены во время восстановления здания 1947 - 1950 гг.); декоративные элементы интерьера 1-го этажа (вестибюль, кассовый зал, малый зрительный зал): обрамление дверных проемов, лепной орнамент карниза с иониками и каплями, дорические капители квадратных в плане колонн; балюстрады лестничных маршей; ниши в стенах со сводчатыми завершениями, декорированные архивольтами в границах лестницы; оформление оконных проемов сандриками, поддерживаемыми кронштейнами; осветительные приборы - трехрожковые бра на лестнице и в фойе зрительного зала; оформление дверных проемов в зрительный зал - обрамление сложного профиля, порезки, сандрики; потолочные лепные карнизы с иониками, модульонами, потолочные лепные розетки; лепной карниз с иониками по стенам зрительного зала;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местоположение лестниц, материалы и конструкция;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изначальные цветовые решения фасадов: белые декоративные элементы;</w:t>
      </w:r>
    </w:p>
    <w:p w:rsidR="00E8215D" w:rsidRDefault="00E8215D">
      <w:pPr>
        <w:pStyle w:val="ConsPlusNormal"/>
        <w:spacing w:before="220"/>
        <w:ind w:firstLine="540"/>
        <w:jc w:val="both"/>
      </w:pPr>
      <w:r>
        <w:t>мемориальная доска на главном фасаде с текстом "здесь в сентябре 1942 года героически сражались воины 92-й отдельной стрелковой бригады 62-й армии", обозначающая достопримечательное место.</w:t>
      </w: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ind w:firstLine="540"/>
        <w:jc w:val="both"/>
      </w:pPr>
    </w:p>
    <w:p w:rsidR="00E8215D" w:rsidRDefault="00E82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15D" w:rsidRDefault="00E8215D">
      <w:bookmarkStart w:id="1" w:name="_GoBack"/>
      <w:bookmarkEnd w:id="1"/>
    </w:p>
    <w:sectPr w:rsidR="00E8215D" w:rsidSect="00A9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D"/>
    <w:rsid w:val="00E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3B4A33C2AD8F76CDAA38BF21CEA2BDE86657F8642DB92AFD8438EA257AEAE6523C40AD9CC7D019C141D12403B998K0g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F86ED4587E587ABB3B4A33C2AD8F76CCAA32B021CEA2BDE86657F8642DB938FDDC34E82064EAE5476A11EBKCg9F" TargetMode="External"/><Relationship Id="rId12" Type="http://schemas.openxmlformats.org/officeDocument/2006/relationships/hyperlink" Target="consultantplus://offline/ref=C187F86ED4587E587ABB254725AEF28A77C4F73CB124C6FCE4B73D0AAF6D27EE6DB2DD7AAE287BEBE7596816E29D9B9649D242D62400BB84022386K6g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F86ED4587E587ABB254725AEF28A77C4F73CB124C6FCE4B73D0AAF6D27EE6DB2DD7AAE287BEBE7596814E29D9B9649D242D62400BB84022386K6g7F" TargetMode="External"/><Relationship Id="rId11" Type="http://schemas.openxmlformats.org/officeDocument/2006/relationships/hyperlink" Target="consultantplus://offline/ref=C187F86ED4587E587ABB254725AEF28A77C4F73CB124C6FCE4B73D0AAF6D27EE6DB2DD7AAE287BEBE7596816E29D9B9649D242D62400BB84022386K6g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187F86ED4587E587ABB254725AEF28A77C4F73CB124C6FCE4B73D0AAF6D27EE6DB2DD7AAE287BEBE7596817E29D9B9649D242D62400BB84022386K6g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7F86ED4587E587ABB254725AEF28A77C4F73CBE22CDF5E5B73D0AAF6D27EE6DB2DD7AAE287BEBE7596910E29D9B9649D242D62400BB84022386K6g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2020-12-25T05:32:00Z</dcterms:created>
  <dcterms:modified xsi:type="dcterms:W3CDTF">2020-12-25T05:32:00Z</dcterms:modified>
</cp:coreProperties>
</file>