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50635" w:rsidRDefault="00D5063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50635" w:rsidRDefault="00D50635">
      <w:pPr>
        <w:pStyle w:val="ConsPlusNormal"/>
        <w:jc w:val="both"/>
        <w:outlineLvl w:val="0"/>
      </w:pPr>
    </w:p>
    <w:p w:rsidR="00D50635" w:rsidRDefault="00D5063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D50635" w:rsidRDefault="00D50635">
      <w:pPr>
        <w:pStyle w:val="ConsPlusTitle"/>
        <w:jc w:val="center"/>
      </w:pPr>
      <w:r>
        <w:t>КУЛЬТУРНОГО НАСЛЕДИЯ ВОЛГОГРАДСКОЙ ОБЛАСТИ</w:t>
      </w:r>
    </w:p>
    <w:p w:rsidR="00D50635" w:rsidRDefault="00D50635">
      <w:pPr>
        <w:pStyle w:val="ConsPlusTitle"/>
        <w:jc w:val="both"/>
      </w:pPr>
    </w:p>
    <w:p w:rsidR="00D50635" w:rsidRDefault="00D50635">
      <w:pPr>
        <w:pStyle w:val="ConsPlusTitle"/>
        <w:jc w:val="center"/>
      </w:pPr>
      <w:r>
        <w:t>ПРИКАЗ</w:t>
      </w:r>
    </w:p>
    <w:p w:rsidR="00D50635" w:rsidRDefault="00D50635">
      <w:pPr>
        <w:pStyle w:val="ConsPlusTitle"/>
        <w:jc w:val="center"/>
      </w:pPr>
      <w:r>
        <w:t>от 14 апреля 2021 г. N 321</w:t>
      </w:r>
    </w:p>
    <w:p w:rsidR="00D50635" w:rsidRDefault="00D50635">
      <w:pPr>
        <w:pStyle w:val="ConsPlusTitle"/>
        <w:jc w:val="both"/>
      </w:pPr>
    </w:p>
    <w:p w:rsidR="00D50635" w:rsidRDefault="00D5063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D50635" w:rsidRDefault="00D50635">
      <w:pPr>
        <w:pStyle w:val="ConsPlusTitle"/>
        <w:jc w:val="center"/>
      </w:pPr>
      <w:r>
        <w:t>РЕГИОНАЛЬНОГО ЗНАЧЕНИЯ "АНСАМБЛЬ СООРУЖЕНИЙ ВОЛГО-ДОНСКОГО</w:t>
      </w:r>
    </w:p>
    <w:p w:rsidR="00D50635" w:rsidRDefault="00D50635">
      <w:pPr>
        <w:pStyle w:val="ConsPlusTitle"/>
        <w:jc w:val="center"/>
      </w:pPr>
      <w:r>
        <w:t>СУДОХОДНОГО КАНАЛА", В ЧАСТИ ШЛЮЗА N 8, РАСПОЛОЖЕННОГО</w:t>
      </w:r>
    </w:p>
    <w:p w:rsidR="00D50635" w:rsidRDefault="00D50635">
      <w:pPr>
        <w:pStyle w:val="ConsPlusTitle"/>
        <w:jc w:val="center"/>
      </w:pPr>
      <w:r>
        <w:t>ПО АДРЕСУ: ВОЛГОГРАДСКАЯ ОБЛАСТЬ, СВЕТЛОЯРСКИЙ РАЙОН,</w:t>
      </w:r>
    </w:p>
    <w:p w:rsidR="00D50635" w:rsidRDefault="00D50635">
      <w:pPr>
        <w:pStyle w:val="ConsPlusTitle"/>
        <w:jc w:val="center"/>
      </w:pPr>
      <w:r>
        <w:t>КИРОВСКОЕ СЕЛЬСКОЕ ПОСЕЛЕНИЕ</w:t>
      </w:r>
    </w:p>
    <w:p w:rsidR="00D50635" w:rsidRDefault="00D50635">
      <w:pPr>
        <w:pStyle w:val="ConsPlusNormal"/>
        <w:jc w:val="both"/>
      </w:pPr>
    </w:p>
    <w:p w:rsidR="00D50635" w:rsidRDefault="00D5063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50635" w:rsidRDefault="00D5063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"Ансамбль сооружений Волго-Донского судоходного канала", в части шлюза N 8, расположенного по адресу: Волгоградская область, Светлоярский район, Кировское сельское поселение.</w:t>
      </w:r>
    </w:p>
    <w:p w:rsidR="00D50635" w:rsidRDefault="00D50635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D50635" w:rsidRDefault="00D50635">
      <w:pPr>
        <w:pStyle w:val="ConsPlusNormal"/>
        <w:jc w:val="both"/>
      </w:pPr>
    </w:p>
    <w:p w:rsidR="00D50635" w:rsidRDefault="00D50635">
      <w:pPr>
        <w:pStyle w:val="ConsPlusNormal"/>
        <w:jc w:val="right"/>
      </w:pPr>
      <w:r>
        <w:t>Председатель комитета</w:t>
      </w:r>
    </w:p>
    <w:p w:rsidR="00D50635" w:rsidRDefault="00D50635">
      <w:pPr>
        <w:pStyle w:val="ConsPlusNormal"/>
        <w:jc w:val="right"/>
      </w:pPr>
      <w:r>
        <w:t>А.Ю.БАЖЕНОВ</w:t>
      </w:r>
    </w:p>
    <w:p w:rsidR="00D50635" w:rsidRDefault="00D50635">
      <w:pPr>
        <w:pStyle w:val="ConsPlusNormal"/>
        <w:jc w:val="both"/>
      </w:pPr>
    </w:p>
    <w:p w:rsidR="00D50635" w:rsidRDefault="00D50635">
      <w:pPr>
        <w:pStyle w:val="ConsPlusNormal"/>
        <w:jc w:val="both"/>
      </w:pPr>
    </w:p>
    <w:p w:rsidR="00D50635" w:rsidRDefault="00D50635">
      <w:pPr>
        <w:pStyle w:val="ConsPlusNormal"/>
        <w:jc w:val="both"/>
      </w:pPr>
    </w:p>
    <w:p w:rsidR="00D50635" w:rsidRDefault="00D50635">
      <w:pPr>
        <w:pStyle w:val="ConsPlusNormal"/>
        <w:jc w:val="both"/>
      </w:pPr>
    </w:p>
    <w:p w:rsidR="00D50635" w:rsidRDefault="00D50635">
      <w:pPr>
        <w:pStyle w:val="ConsPlusNormal"/>
        <w:jc w:val="both"/>
      </w:pPr>
    </w:p>
    <w:p w:rsidR="00D50635" w:rsidRDefault="00D50635">
      <w:pPr>
        <w:pStyle w:val="ConsPlusNormal"/>
        <w:jc w:val="right"/>
        <w:outlineLvl w:val="0"/>
      </w:pPr>
      <w:r>
        <w:t>Утвержден</w:t>
      </w:r>
    </w:p>
    <w:p w:rsidR="00D50635" w:rsidRDefault="00D50635">
      <w:pPr>
        <w:pStyle w:val="ConsPlusNormal"/>
        <w:jc w:val="right"/>
      </w:pPr>
      <w:r>
        <w:t>приказом</w:t>
      </w:r>
    </w:p>
    <w:p w:rsidR="00D50635" w:rsidRDefault="00D50635">
      <w:pPr>
        <w:pStyle w:val="ConsPlusNormal"/>
        <w:jc w:val="right"/>
      </w:pPr>
      <w:r>
        <w:t>комитета</w:t>
      </w:r>
    </w:p>
    <w:p w:rsidR="00D50635" w:rsidRDefault="00D50635">
      <w:pPr>
        <w:pStyle w:val="ConsPlusNormal"/>
        <w:jc w:val="right"/>
      </w:pPr>
      <w:r>
        <w:t>государственной охраны</w:t>
      </w:r>
    </w:p>
    <w:p w:rsidR="00D50635" w:rsidRDefault="00D50635">
      <w:pPr>
        <w:pStyle w:val="ConsPlusNormal"/>
        <w:jc w:val="right"/>
      </w:pPr>
      <w:r>
        <w:t>объектов культурного наследия</w:t>
      </w:r>
    </w:p>
    <w:p w:rsidR="00D50635" w:rsidRDefault="00D50635">
      <w:pPr>
        <w:pStyle w:val="ConsPlusNormal"/>
        <w:jc w:val="right"/>
      </w:pPr>
      <w:r>
        <w:t>Волгоградской области</w:t>
      </w:r>
    </w:p>
    <w:p w:rsidR="00D50635" w:rsidRDefault="00D50635">
      <w:pPr>
        <w:pStyle w:val="ConsPlusNormal"/>
        <w:jc w:val="right"/>
      </w:pPr>
      <w:r>
        <w:t>от 14.04.2021 N 321</w:t>
      </w:r>
    </w:p>
    <w:p w:rsidR="00D50635" w:rsidRDefault="00D50635">
      <w:pPr>
        <w:pStyle w:val="ConsPlusNormal"/>
        <w:jc w:val="both"/>
      </w:pPr>
    </w:p>
    <w:p w:rsidR="00D50635" w:rsidRDefault="00D50635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D50635" w:rsidRDefault="00D50635">
      <w:pPr>
        <w:pStyle w:val="ConsPlusTitle"/>
        <w:jc w:val="center"/>
      </w:pPr>
      <w:r>
        <w:t>ЗНАЧЕНИЯ "АНСАМБЛЬ СООРУЖЕНИЙ ВОЛГО-ДОНСКОГО СУДОХОДНОГО</w:t>
      </w:r>
    </w:p>
    <w:p w:rsidR="00D50635" w:rsidRDefault="00D50635">
      <w:pPr>
        <w:pStyle w:val="ConsPlusTitle"/>
        <w:jc w:val="center"/>
      </w:pPr>
      <w:r>
        <w:t>КАНАЛА", В ЧАСТИ ШЛЮЗА N 8, РАСПОЛОЖЕННОГО ПО АДРЕСУ:</w:t>
      </w:r>
    </w:p>
    <w:p w:rsidR="00D50635" w:rsidRDefault="00D50635">
      <w:pPr>
        <w:pStyle w:val="ConsPlusTitle"/>
        <w:jc w:val="center"/>
      </w:pPr>
      <w:r>
        <w:t>ВОЛГОГРАДСКАЯ ОБЛАСТЬ, СВЕТЛОЯРСКИЙ РАЙОН,</w:t>
      </w:r>
    </w:p>
    <w:p w:rsidR="00D50635" w:rsidRDefault="00D50635">
      <w:pPr>
        <w:pStyle w:val="ConsPlusTitle"/>
        <w:jc w:val="center"/>
      </w:pPr>
      <w:r>
        <w:t>КИРОВСКОЕ СЕЛЬСКОЕ ПОСЕЛЕНИЕ</w:t>
      </w:r>
    </w:p>
    <w:p w:rsidR="00D50635" w:rsidRDefault="00D50635">
      <w:pPr>
        <w:pStyle w:val="ConsPlusNormal"/>
        <w:jc w:val="both"/>
      </w:pPr>
    </w:p>
    <w:p w:rsidR="00D50635" w:rsidRDefault="00D50635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"Ансамбль сооружений Волго-Донского судоходного канала", в части шлюза N 8, расположенного по адресу: Волгоградская область, Светлоярский район, Кировское сельское поселение, являются:</w:t>
      </w:r>
    </w:p>
    <w:p w:rsidR="00D50635" w:rsidRDefault="00D5063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381"/>
        <w:gridCol w:w="3855"/>
      </w:tblGrid>
      <w:tr w:rsidR="00D50635">
        <w:tc>
          <w:tcPr>
            <w:tcW w:w="567" w:type="dxa"/>
          </w:tcPr>
          <w:p w:rsidR="00D50635" w:rsidRDefault="00D5063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</w:tcPr>
          <w:p w:rsidR="00D50635" w:rsidRDefault="00D50635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381" w:type="dxa"/>
          </w:tcPr>
          <w:p w:rsidR="00D50635" w:rsidRDefault="00D50635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  <w:r>
              <w:t>Местоположение зданий шлюза N 8</w:t>
            </w: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два здания управления верхней головы и два здания управления нижней головы, одноэтажные объемы служебных помещений шлюза N 8, симметрично расположенные относительно шлюзовой камеры в Светлоярском районе, Кировского сельского поселения, гидроузел N 8 Волго-Донского судоходного канала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214"/>
              </w:rPr>
              <w:drawing>
                <wp:inline distT="0" distB="0" distL="0" distR="0">
                  <wp:extent cx="2369185" cy="28638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86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  <w:r>
              <w:t>Объемно-пространственная композиция зданий управления нижней головы шлюза N 8 на период 1952 г.</w:t>
            </w: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прямоугольные в плане многоуровневые объемы с открытыми многомаршевыми лестницами и одноэтажными объемами служебных помещений на уровне нижнего бьефа; габариты и формы плоских крыш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369185" cy="1588135"/>
                  <wp:effectExtent l="0" t="0" r="0" b="0"/>
                  <wp:docPr id="1510478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58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  <w:r>
              <w:t>Композиция и декоративное убранство фасадов зданий управления нижней головы шлюза N 8 на период 1952 г.</w:t>
            </w: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 xml:space="preserve">декоративный прямоугольный руст; широкие развитые сандрики, стилизованные под веерный "замок", над дверными проемами и оконными проемами 1-го этажа с лучковыми завершениями; двустворчатые столярные заполнения дверных проемов, декорированные филенками и декоративными </w:t>
            </w:r>
            <w:r>
              <w:lastRenderedPageBreak/>
              <w:t>металлическими розетками по периметру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144"/>
              </w:rPr>
              <w:lastRenderedPageBreak/>
              <w:drawing>
                <wp:inline distT="0" distB="0" distL="0" distR="0">
                  <wp:extent cx="2369185" cy="1978660"/>
                  <wp:effectExtent l="0" t="0" r="0" b="0"/>
                  <wp:docPr id="5368845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97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0635" w:rsidRDefault="00D50635">
            <w:pPr>
              <w:pStyle w:val="ConsPlusNormal"/>
            </w:pPr>
          </w:p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238"/>
              </w:rPr>
              <w:lastRenderedPageBreak/>
              <w:drawing>
                <wp:inline distT="0" distB="0" distL="0" distR="0">
                  <wp:extent cx="2369185" cy="3162935"/>
                  <wp:effectExtent l="0" t="0" r="0" b="0"/>
                  <wp:docPr id="4495260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16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эркеры фасадов, обращенных к шлюзовой камере, на 4-х кронштейнах (один - плоский, 3 - с профилем типа "гусек");</w:t>
            </w:r>
          </w:p>
          <w:p w:rsidR="00D50635" w:rsidRDefault="00D50635">
            <w:pPr>
              <w:pStyle w:val="ConsPlusNormal"/>
            </w:pPr>
            <w:r>
              <w:t>цокольные и венчающие карнизы эркеров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186"/>
              </w:rPr>
              <w:drawing>
                <wp:inline distT="0" distB="0" distL="0" distR="0">
                  <wp:extent cx="2369185" cy="2508250"/>
                  <wp:effectExtent l="0" t="0" r="0" b="0"/>
                  <wp:docPr id="8187349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50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крупные барельефы в форме геральдических розеток, по одной с каждой стороны от эркеров в уровне второго этажа (наложение круглого щита на композицию из вертикального направленного вниз меча с парами знамен по бокам)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188"/>
              </w:rPr>
              <w:drawing>
                <wp:inline distT="0" distB="0" distL="0" distR="0">
                  <wp:extent cx="2369185" cy="2536190"/>
                  <wp:effectExtent l="0" t="0" r="0" b="0"/>
                  <wp:docPr id="10409944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536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подоконные полочки оконных проемов 2-го этажа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178"/>
              </w:rPr>
              <w:drawing>
                <wp:inline distT="0" distB="0" distL="0" distR="0">
                  <wp:extent cx="2369185" cy="2410460"/>
                  <wp:effectExtent l="0" t="0" r="0" b="0"/>
                  <wp:docPr id="909086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41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крупные по габаритам скульптурные горельефы из литого металла, установленные на центральных пилонах, - композиция из знамен и варяжского геральдического щита с легендой:</w:t>
            </w:r>
          </w:p>
          <w:p w:rsidR="00D50635" w:rsidRDefault="00D50635">
            <w:pPr>
              <w:pStyle w:val="ConsPlusNormal"/>
            </w:pPr>
            <w:r>
              <w:t>- на левой голове: "Из этого района 15 июля 1918 года началось успешное наступление частей Царицынского фронта на юг против белогвардейцев";</w:t>
            </w:r>
          </w:p>
          <w:p w:rsidR="00D50635" w:rsidRDefault="00D50635">
            <w:pPr>
              <w:pStyle w:val="ConsPlusNormal"/>
            </w:pPr>
            <w:r>
              <w:t>- на правой голове: "Здесь в 1918 году Донецко-Морозовская дивизия, сформированная из рабочих Донбасса, героически сражалась с белогвардейцами";</w:t>
            </w:r>
          </w:p>
          <w:p w:rsidR="00D50635" w:rsidRDefault="00D50635">
            <w:pPr>
              <w:pStyle w:val="ConsPlusNormal"/>
            </w:pPr>
            <w:r>
              <w:t>литая металлическая гирлянда с перевязью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279"/>
              </w:rPr>
              <w:drawing>
                <wp:inline distT="0" distB="0" distL="0" distR="0">
                  <wp:extent cx="2369185" cy="3692525"/>
                  <wp:effectExtent l="0" t="0" r="0" b="0"/>
                  <wp:docPr id="9725563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69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сандрики над дверными проемами, стилизованными под веерный замок на площадках лестниц подъема от нижнего бьефа; проемы лестниц с лучковыми перемычками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drawing>
                <wp:inline distT="0" distB="0" distL="0" distR="0">
                  <wp:extent cx="2369185" cy="1602105"/>
                  <wp:effectExtent l="0" t="0" r="0" b="0"/>
                  <wp:docPr id="361364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60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чугунные литые фигурные решетки оконных проемов 1-го этажа (на юго-восточных фасадах одноэтажных объемов служебных помещений нижнего бьефа) декорированы трехчастной накладной гирляндой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192"/>
              </w:rPr>
              <w:drawing>
                <wp:inline distT="0" distB="0" distL="0" distR="0">
                  <wp:extent cx="2369185" cy="2578100"/>
                  <wp:effectExtent l="0" t="0" r="0" b="0"/>
                  <wp:docPr id="15845915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57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венчающие карнизы среднего выноса, поддерживаемые частыми фигурными кронштейнами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72"/>
              </w:rPr>
              <w:drawing>
                <wp:inline distT="0" distB="0" distL="0" distR="0">
                  <wp:extent cx="2369185" cy="1058545"/>
                  <wp:effectExtent l="0" t="0" r="0" b="0"/>
                  <wp:docPr id="336140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05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  <w:r>
              <w:t>Декоративное убранство интерьеров здания управления нижней головы шлюза N 8 на период 1952 г.</w:t>
            </w: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рамочное обрамление потолков многоступенчатым карнизом; лепная розетка по центру в месте крепления осветительного прибора; подлинные осветительные приборы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263"/>
              </w:rPr>
              <w:drawing>
                <wp:inline distT="0" distB="0" distL="0" distR="0">
                  <wp:extent cx="2369185" cy="3483610"/>
                  <wp:effectExtent l="0" t="0" r="0" b="0"/>
                  <wp:docPr id="20728933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48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  <w:r>
              <w:t>Объемно-пространственная композиция зданий управления верхней головы шлюза N 8 на период 1952 г.</w:t>
            </w: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прямоугольные в плане многоуровневые (в 2 этажа) объемы с открытыми галереями вдоль шлюзовой камеры и парами лестниц в один марш, ведущих на галереи;</w:t>
            </w:r>
          </w:p>
          <w:p w:rsidR="00D50635" w:rsidRDefault="00D50635">
            <w:pPr>
              <w:pStyle w:val="ConsPlusNormal"/>
            </w:pPr>
            <w:r>
              <w:t>высотные отметки, габариты и формы плоских крыш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369185" cy="1588135"/>
                  <wp:effectExtent l="0" t="0" r="0" b="0"/>
                  <wp:docPr id="10701626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58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  <w:r>
              <w:t>Композиция и декоративное убранство фасадов зданий управления верхней головы шлюза N 8 на период 1952 г.</w:t>
            </w: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декоративный прямоугольный руст; широкие развитые сандрики, стилизованные под веерный "замок", над дверными проемами с лучковыми завершениями; двустворчатые столярные заполнения дверных проемов, декорированные филенками и декоративными металлическими розетками по периметру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274"/>
              </w:rPr>
              <w:drawing>
                <wp:inline distT="0" distB="0" distL="0" distR="0">
                  <wp:extent cx="2369185" cy="3623310"/>
                  <wp:effectExtent l="0" t="0" r="0" b="0"/>
                  <wp:docPr id="12299325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362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крупные барельефы в форме геральдических розеток над дверными проемами (наложение круглого щита на композицию из вертикального направленного вниз меча с парами знамен по бокам)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172"/>
              </w:rPr>
              <w:drawing>
                <wp:inline distT="0" distB="0" distL="0" distR="0">
                  <wp:extent cx="2369185" cy="2327275"/>
                  <wp:effectExtent l="0" t="0" r="0" b="0"/>
                  <wp:docPr id="15769721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32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высокие (на 2/3 высоты фасадов) технологические проемы - по два на фасадах, обращенных к шлюзовой камере и по одному на противоположных фасадах;</w:t>
            </w:r>
          </w:p>
          <w:p w:rsidR="00D50635" w:rsidRDefault="00D50635">
            <w:pPr>
              <w:pStyle w:val="ConsPlusNormal"/>
            </w:pPr>
            <w:r>
              <w:t>металлические ограждения - частый ряд стоек квадратного сечения с завершениями в виде литых пик, с перевязкой в нижних частях широкими профилями с накладными концентрическими розетками (по 3 на каждом профиле), в верхней части перевязаны поясами с наложением декоративных трехчастных металлических гирлянд с розетками, накладные металлические литые элементы центральной части ограждений украшены в виде якоря с наложением вытянутого, вертикально ориентированного накладного восьмиугольного щита с растительным орнаментом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215"/>
              </w:rPr>
              <w:drawing>
                <wp:inline distT="0" distB="0" distL="0" distR="0">
                  <wp:extent cx="2369185" cy="2870835"/>
                  <wp:effectExtent l="0" t="0" r="0" b="0"/>
                  <wp:docPr id="10504609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2870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венчающие карнизы среднего выноса, поддерживаемые частыми фигурными кронштейнами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>
                  <wp:extent cx="2369185" cy="1490980"/>
                  <wp:effectExtent l="0" t="0" r="0" b="0"/>
                  <wp:docPr id="17029284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49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  <w:r>
              <w:t>Материалы и характер обработки фасадов зданий шлюза N 8 на период 1952 г.</w:t>
            </w: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подлинные строительные материалы;</w:t>
            </w:r>
          </w:p>
          <w:p w:rsidR="00D50635" w:rsidRDefault="00D50635">
            <w:pPr>
              <w:pStyle w:val="ConsPlusNormal"/>
            </w:pPr>
            <w:r>
              <w:t>цветовые решения фасадов на период 1952 г.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>
                  <wp:extent cx="2369185" cy="1588135"/>
                  <wp:effectExtent l="0" t="0" r="0" b="0"/>
                  <wp:docPr id="3188639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85" cy="158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635">
        <w:tc>
          <w:tcPr>
            <w:tcW w:w="567" w:type="dxa"/>
          </w:tcPr>
          <w:p w:rsidR="00D50635" w:rsidRDefault="00D5063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D50635" w:rsidRDefault="00D50635">
            <w:pPr>
              <w:pStyle w:val="ConsPlusNormal"/>
            </w:pPr>
            <w:r>
              <w:t>Принципиальная конструктивная схема зданий шлюза N 7 на период 1952 г.</w:t>
            </w:r>
          </w:p>
        </w:tc>
        <w:tc>
          <w:tcPr>
            <w:tcW w:w="2381" w:type="dxa"/>
          </w:tcPr>
          <w:p w:rsidR="00D50635" w:rsidRDefault="00D50635">
            <w:pPr>
              <w:pStyle w:val="ConsPlusNormal"/>
            </w:pPr>
            <w:r>
              <w:t>расположение, количество, конфигурация и габариты проемов;</w:t>
            </w:r>
          </w:p>
          <w:p w:rsidR="00D50635" w:rsidRDefault="00D50635">
            <w:pPr>
              <w:pStyle w:val="ConsPlusNormal"/>
            </w:pPr>
            <w:r>
              <w:t>капитальные стены, опорные конструкции, перекрытия и другие конструктивные элементы, формирующие несущий каркас зданий, их расположение, конструкция и материалы</w:t>
            </w:r>
          </w:p>
        </w:tc>
        <w:tc>
          <w:tcPr>
            <w:tcW w:w="3855" w:type="dxa"/>
          </w:tcPr>
          <w:p w:rsidR="00D50635" w:rsidRDefault="00D50635">
            <w:pPr>
              <w:pStyle w:val="ConsPlusNormal"/>
            </w:pPr>
          </w:p>
        </w:tc>
      </w:tr>
    </w:tbl>
    <w:p w:rsidR="00D50635" w:rsidRDefault="00D50635">
      <w:pPr>
        <w:pStyle w:val="ConsPlusNormal"/>
        <w:jc w:val="both"/>
      </w:pPr>
    </w:p>
    <w:p w:rsidR="00D50635" w:rsidRDefault="00D50635">
      <w:pPr>
        <w:pStyle w:val="ConsPlusNormal"/>
        <w:jc w:val="both"/>
      </w:pPr>
    </w:p>
    <w:p w:rsidR="00D50635" w:rsidRDefault="00D5063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D50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35"/>
    <w:rsid w:val="006813C0"/>
    <w:rsid w:val="009F2807"/>
    <w:rsid w:val="00B86796"/>
    <w:rsid w:val="00D5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48135-6CF5-408D-893A-256D052FD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06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5063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5063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B4406BBD2DDC71A14E410642796515593311C74FD27C0CF683B1D85F8D6F9899C0B7AF3B7FFEA606C0E3DA7C6E361C69AFC3105F7276B3989FB422l6r4O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hyperlink" Target="consultantplus://offline/ref=4EB4406BBD2DDC71A14E5F0B54153A105A3048CB44D07553A3D3B78F00DD69CDD980B1FA783BF0AE0ECBB78A38306F4E2CE4CE16406E76B4l8r2O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4EB4406BBD2DDC71A14E5F0B54153A105B384DCC4ED87553A3D3B78F00DD69CDD980B1FA783BF3A606CBB78A38306F4E2CE4CE16406E76B4l8r2O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hyperlink" Target="consultantplus://offline/ref=4EB4406BBD2DDC71A14E5F0B54153A105A3048CB44D07553A3D3B78F00DD69CDCB80E9F67B3AEDA703DEE1DB7El6r1O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1161</Words>
  <Characters>6620</Characters>
  <Application>Microsoft Office Word</Application>
  <DocSecurity>0</DocSecurity>
  <Lines>55</Lines>
  <Paragraphs>15</Paragraphs>
  <ScaleCrop>false</ScaleCrop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2024-05-31T14:43:00Z</dcterms:created>
  <dcterms:modified xsi:type="dcterms:W3CDTF">2024-05-31T14:44:00Z</dcterms:modified>
</cp:coreProperties>
</file>