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F658D" w:rsidRDefault="002F658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F658D" w:rsidRDefault="002F658D">
      <w:pPr>
        <w:pStyle w:val="ConsPlusNormal"/>
        <w:jc w:val="both"/>
        <w:outlineLvl w:val="0"/>
      </w:pPr>
    </w:p>
    <w:p w:rsidR="002F658D" w:rsidRDefault="002F658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F658D" w:rsidRDefault="002F658D">
      <w:pPr>
        <w:pStyle w:val="ConsPlusTitle"/>
        <w:jc w:val="center"/>
      </w:pPr>
      <w:r>
        <w:t>КУЛЬТУРНОГО НАСЛЕДИЯ ВОЛГОГРАДСКОЙ ОБЛАСТИ</w:t>
      </w:r>
    </w:p>
    <w:p w:rsidR="002F658D" w:rsidRDefault="002F658D">
      <w:pPr>
        <w:pStyle w:val="ConsPlusTitle"/>
        <w:jc w:val="both"/>
      </w:pPr>
    </w:p>
    <w:p w:rsidR="002F658D" w:rsidRDefault="002F658D">
      <w:pPr>
        <w:pStyle w:val="ConsPlusTitle"/>
        <w:jc w:val="center"/>
      </w:pPr>
      <w:r>
        <w:t>ПРИКАЗ</w:t>
      </w:r>
    </w:p>
    <w:p w:rsidR="002F658D" w:rsidRDefault="002F658D">
      <w:pPr>
        <w:pStyle w:val="ConsPlusTitle"/>
        <w:jc w:val="center"/>
      </w:pPr>
      <w:r>
        <w:t>от 14 апреля 2021 г. N 319</w:t>
      </w:r>
    </w:p>
    <w:p w:rsidR="002F658D" w:rsidRDefault="002F658D">
      <w:pPr>
        <w:pStyle w:val="ConsPlusTitle"/>
        <w:jc w:val="both"/>
      </w:pPr>
    </w:p>
    <w:p w:rsidR="002F658D" w:rsidRDefault="002F658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2F658D" w:rsidRDefault="002F658D">
      <w:pPr>
        <w:pStyle w:val="ConsPlusTitle"/>
        <w:jc w:val="center"/>
      </w:pPr>
      <w:r>
        <w:t>РЕГИОНАЛЬНОГО ЗНАЧЕНИЯ "АНСАМБЛЬ СООРУЖЕНИЙ ВОЛГО-ДОНСКОГО</w:t>
      </w:r>
    </w:p>
    <w:p w:rsidR="002F658D" w:rsidRDefault="002F658D">
      <w:pPr>
        <w:pStyle w:val="ConsPlusTitle"/>
        <w:jc w:val="center"/>
      </w:pPr>
      <w:r>
        <w:t>СУДОХОДНОГО КАНАЛА", В ЧАСТИ ШЛЮЗА N 11, РАСПОЛОЖЕННОГО</w:t>
      </w:r>
    </w:p>
    <w:p w:rsidR="002F658D" w:rsidRDefault="002F658D">
      <w:pPr>
        <w:pStyle w:val="ConsPlusTitle"/>
        <w:jc w:val="center"/>
      </w:pPr>
      <w:r>
        <w:t>ПО АДРЕСУ: ВОЛГОГРАДСКАЯ ОБЛАСТЬ, КАЛАЧЕВСКИЙ РАЙОН,</w:t>
      </w:r>
    </w:p>
    <w:p w:rsidR="002F658D" w:rsidRDefault="002F658D">
      <w:pPr>
        <w:pStyle w:val="ConsPlusTitle"/>
        <w:jc w:val="center"/>
      </w:pPr>
      <w:r>
        <w:t>СОВЕТСКОЕ СЕЛЬСКОЕ ПОСЕЛЕНИЕ</w:t>
      </w:r>
    </w:p>
    <w:p w:rsidR="002F658D" w:rsidRDefault="002F658D">
      <w:pPr>
        <w:pStyle w:val="ConsPlusNormal"/>
        <w:jc w:val="both"/>
      </w:pPr>
    </w:p>
    <w:p w:rsidR="002F658D" w:rsidRDefault="002F658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F658D" w:rsidRDefault="002F658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"Ансамбль сооружений Волго-Донского судоходного канала", в части шлюза N 11, расположенного по адресу: Волгоградская область, Калачевский район, Советское сельское поселение.</w:t>
      </w:r>
    </w:p>
    <w:p w:rsidR="002F658D" w:rsidRDefault="002F658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2F658D" w:rsidRDefault="002F658D">
      <w:pPr>
        <w:pStyle w:val="ConsPlusNormal"/>
        <w:jc w:val="both"/>
      </w:pPr>
    </w:p>
    <w:p w:rsidR="002F658D" w:rsidRDefault="002F658D">
      <w:pPr>
        <w:pStyle w:val="ConsPlusNormal"/>
        <w:jc w:val="right"/>
      </w:pPr>
      <w:r>
        <w:t>Председатель комитета</w:t>
      </w:r>
    </w:p>
    <w:p w:rsidR="002F658D" w:rsidRDefault="002F658D">
      <w:pPr>
        <w:pStyle w:val="ConsPlusNormal"/>
        <w:jc w:val="right"/>
      </w:pPr>
      <w:r>
        <w:t>А.Ю.БАЖЕНОВ</w:t>
      </w:r>
    </w:p>
    <w:p w:rsidR="002F658D" w:rsidRDefault="002F658D">
      <w:pPr>
        <w:pStyle w:val="ConsPlusNormal"/>
        <w:jc w:val="both"/>
      </w:pPr>
    </w:p>
    <w:p w:rsidR="002F658D" w:rsidRDefault="002F658D">
      <w:pPr>
        <w:pStyle w:val="ConsPlusNormal"/>
        <w:jc w:val="both"/>
      </w:pPr>
    </w:p>
    <w:p w:rsidR="002F658D" w:rsidRDefault="002F658D">
      <w:pPr>
        <w:pStyle w:val="ConsPlusNormal"/>
        <w:jc w:val="both"/>
      </w:pPr>
    </w:p>
    <w:p w:rsidR="002F658D" w:rsidRDefault="002F658D">
      <w:pPr>
        <w:pStyle w:val="ConsPlusNormal"/>
        <w:jc w:val="both"/>
      </w:pPr>
    </w:p>
    <w:p w:rsidR="002F658D" w:rsidRDefault="002F658D">
      <w:pPr>
        <w:pStyle w:val="ConsPlusNormal"/>
        <w:jc w:val="both"/>
      </w:pPr>
    </w:p>
    <w:p w:rsidR="002F658D" w:rsidRDefault="002F658D">
      <w:pPr>
        <w:pStyle w:val="ConsPlusNormal"/>
        <w:jc w:val="right"/>
        <w:outlineLvl w:val="0"/>
      </w:pPr>
      <w:r>
        <w:t>Утвержден</w:t>
      </w:r>
    </w:p>
    <w:p w:rsidR="002F658D" w:rsidRDefault="002F658D">
      <w:pPr>
        <w:pStyle w:val="ConsPlusNormal"/>
        <w:jc w:val="right"/>
      </w:pPr>
      <w:r>
        <w:t>приказом</w:t>
      </w:r>
    </w:p>
    <w:p w:rsidR="002F658D" w:rsidRDefault="002F658D">
      <w:pPr>
        <w:pStyle w:val="ConsPlusNormal"/>
        <w:jc w:val="right"/>
      </w:pPr>
      <w:r>
        <w:t>комитета</w:t>
      </w:r>
    </w:p>
    <w:p w:rsidR="002F658D" w:rsidRDefault="002F658D">
      <w:pPr>
        <w:pStyle w:val="ConsPlusNormal"/>
        <w:jc w:val="right"/>
      </w:pPr>
      <w:r>
        <w:t>государственной охраны</w:t>
      </w:r>
    </w:p>
    <w:p w:rsidR="002F658D" w:rsidRDefault="002F658D">
      <w:pPr>
        <w:pStyle w:val="ConsPlusNormal"/>
        <w:jc w:val="right"/>
      </w:pPr>
      <w:r>
        <w:t>объектов культурного наследия</w:t>
      </w:r>
    </w:p>
    <w:p w:rsidR="002F658D" w:rsidRDefault="002F658D">
      <w:pPr>
        <w:pStyle w:val="ConsPlusNormal"/>
        <w:jc w:val="right"/>
      </w:pPr>
      <w:r>
        <w:t>Волгоградской области</w:t>
      </w:r>
    </w:p>
    <w:p w:rsidR="002F658D" w:rsidRDefault="002F658D">
      <w:pPr>
        <w:pStyle w:val="ConsPlusNormal"/>
        <w:jc w:val="right"/>
      </w:pPr>
      <w:r>
        <w:t>от 14.04.2021 N 319</w:t>
      </w:r>
    </w:p>
    <w:p w:rsidR="002F658D" w:rsidRDefault="002F658D">
      <w:pPr>
        <w:pStyle w:val="ConsPlusNormal"/>
        <w:jc w:val="both"/>
      </w:pPr>
    </w:p>
    <w:p w:rsidR="002F658D" w:rsidRDefault="002F658D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2F658D" w:rsidRDefault="002F658D">
      <w:pPr>
        <w:pStyle w:val="ConsPlusTitle"/>
        <w:jc w:val="center"/>
      </w:pPr>
      <w:r>
        <w:t>ЗНАЧЕНИЯ "АНСАМБЛЬ СООРУЖЕНИЙ ВОЛГО-ДОНСКОГО СУДОХОДНОГО</w:t>
      </w:r>
    </w:p>
    <w:p w:rsidR="002F658D" w:rsidRDefault="002F658D">
      <w:pPr>
        <w:pStyle w:val="ConsPlusTitle"/>
        <w:jc w:val="center"/>
      </w:pPr>
      <w:r>
        <w:t>КАНАЛА", В ЧАСТИ ШЛЮЗА N 11, РАСПОЛОЖЕННОГО ПО АДРЕСУ:</w:t>
      </w:r>
    </w:p>
    <w:p w:rsidR="002F658D" w:rsidRDefault="002F658D">
      <w:pPr>
        <w:pStyle w:val="ConsPlusTitle"/>
        <w:jc w:val="center"/>
      </w:pPr>
      <w:r>
        <w:t>ВОЛГОГРАДСКАЯ ОБЛАСТЬ, КАЛАЧЕВСКИЙ РАЙОН, СОВЕТСКОЕ СЕЛЬСКОЕ</w:t>
      </w:r>
    </w:p>
    <w:p w:rsidR="002F658D" w:rsidRDefault="002F658D">
      <w:pPr>
        <w:pStyle w:val="ConsPlusTitle"/>
        <w:jc w:val="center"/>
      </w:pPr>
      <w:r>
        <w:t>ПОСЕЛЕНИЕ</w:t>
      </w:r>
    </w:p>
    <w:p w:rsidR="002F658D" w:rsidRDefault="002F658D">
      <w:pPr>
        <w:pStyle w:val="ConsPlusNormal"/>
        <w:jc w:val="both"/>
      </w:pPr>
    </w:p>
    <w:p w:rsidR="002F658D" w:rsidRDefault="002F658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"Ансамбль сооружений Волго-Донского судоходного канала", в части шлюза N 11, расположенного по адресу: Волгоградская область, Калачевский район, Советское сельское поселение, являются:</w:t>
      </w:r>
    </w:p>
    <w:p w:rsidR="002F658D" w:rsidRDefault="002F658D">
      <w:pPr>
        <w:pStyle w:val="ConsPlusNormal"/>
        <w:jc w:val="both"/>
      </w:pPr>
    </w:p>
    <w:p w:rsidR="002F658D" w:rsidRDefault="002F658D">
      <w:pPr>
        <w:pStyle w:val="ConsPlusNormal"/>
        <w:sectPr w:rsidR="002F658D" w:rsidSect="002F65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3685"/>
        <w:gridCol w:w="3685"/>
      </w:tblGrid>
      <w:tr w:rsidR="002F658D">
        <w:tc>
          <w:tcPr>
            <w:tcW w:w="567" w:type="dxa"/>
          </w:tcPr>
          <w:p w:rsidR="002F658D" w:rsidRDefault="002F658D">
            <w:pPr>
              <w:pStyle w:val="ConsPlusNormal"/>
              <w:jc w:val="center"/>
            </w:pPr>
            <w:r>
              <w:lastRenderedPageBreak/>
              <w:t>N</w:t>
            </w:r>
          </w:p>
          <w:p w:rsidR="002F658D" w:rsidRDefault="002F658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8" w:type="dxa"/>
          </w:tcPr>
          <w:p w:rsidR="002F658D" w:rsidRDefault="002F658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  <w:r>
              <w:t>Местоположение зданий шлюза N 11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два здания управления верхней головы и два здания управления нижней головы, примыкающие здания вспомогательных служб шлюза N 11, симметрично расположенные относительно шлюзовой камеры в Калачевском районе, Советского сельского поселения, гидроузел N 11 Волго-Донского судоходного канала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98"/>
              </w:rPr>
              <w:drawing>
                <wp:inline distT="0" distB="0" distL="0" distR="0">
                  <wp:extent cx="2261235" cy="26543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65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  <w:r>
              <w:t>Объемно-пространственная композиция зданий управления нижней головы шлюза N 11 на период 1952 г.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прямоугольные в плане многоуровневые (в 2 этажа от уровня технологических проездов шлюзовой камеры) объемы с открытыми многомаршевыми лестничными переходами в уровень причальной стенки нижнего бьефа, галереями вдоль шлюзовой камеры и наружными лестницами на 2-й этаж на противоположных фасадах;</w:t>
            </w:r>
          </w:p>
          <w:p w:rsidR="002F658D" w:rsidRDefault="002F658D">
            <w:pPr>
              <w:pStyle w:val="ConsPlusNormal"/>
            </w:pPr>
            <w:r>
              <w:t>габариты и формы плоских крыш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>
                  <wp:extent cx="2261235" cy="1742440"/>
                  <wp:effectExtent l="0" t="0" r="0" b="0"/>
                  <wp:docPr id="12680070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  <w:r>
              <w:t>Композиция и декоративное убранство фасадов зданий управления нижней головы шлюза N 11 на период 1952 г.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выступающий цоколь; руст штукатурного покрытия;</w:t>
            </w:r>
          </w:p>
          <w:p w:rsidR="002F658D" w:rsidRDefault="002F658D">
            <w:pPr>
              <w:pStyle w:val="ConsPlusNormal"/>
            </w:pPr>
            <w:r>
              <w:t>сандрики над дверными и оконными проемами в виде трехступенчатых веерных декоративных "замков";</w:t>
            </w:r>
          </w:p>
          <w:p w:rsidR="002F658D" w:rsidRDefault="002F658D">
            <w:pPr>
              <w:pStyle w:val="ConsPlusNormal"/>
            </w:pPr>
            <w:r>
              <w:t>подоконные полочки оконных проемов 2-го этажа;</w:t>
            </w:r>
          </w:p>
          <w:p w:rsidR="002F658D" w:rsidRDefault="002F658D">
            <w:pPr>
              <w:pStyle w:val="ConsPlusNormal"/>
            </w:pPr>
            <w:r>
              <w:t>двустворчатые столярные заполнения дверных проемов, декорированные филенками, декоративными металлическими шайбами и массивными ручками в виде колец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209"/>
              </w:rPr>
              <w:drawing>
                <wp:inline distT="0" distB="0" distL="0" distR="0">
                  <wp:extent cx="2261235" cy="2806065"/>
                  <wp:effectExtent l="0" t="0" r="0" b="0"/>
                  <wp:docPr id="18257221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80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658D" w:rsidRDefault="002F658D">
            <w:pPr>
              <w:pStyle w:val="ConsPlusNormal"/>
              <w:jc w:val="center"/>
            </w:pPr>
          </w:p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211"/>
              </w:rPr>
              <w:drawing>
                <wp:inline distT="0" distB="0" distL="0" distR="0">
                  <wp:extent cx="2261235" cy="2819400"/>
                  <wp:effectExtent l="0" t="0" r="0" b="0"/>
                  <wp:docPr id="18795252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81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</w:pP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крупные полуциркульные оконные проемы 1-го этажа продольных фасадов (по 3 на каждом) и их декоративное оформление:</w:t>
            </w:r>
          </w:p>
          <w:p w:rsidR="002F658D" w:rsidRDefault="002F658D">
            <w:pPr>
              <w:pStyle w:val="ConsPlusNormal"/>
            </w:pPr>
            <w:r>
              <w:t>- заглубленный по отношению к полю фасада архивольт с веерным рустом, трехступенчатым веерным декоративным "замком", на фасадах, обращенных к шлюзовой камере;</w:t>
            </w:r>
          </w:p>
          <w:p w:rsidR="002F658D" w:rsidRDefault="002F658D">
            <w:pPr>
              <w:pStyle w:val="ConsPlusNormal"/>
            </w:pPr>
            <w:r>
              <w:t>- металлические фигурные ограждения полуциркульных оконных проемов - веерные решетки из стоек квадратного сечения с завершениями в виде литых пик, перевязанных в нижней и верхней частях полуциркульными сегментами прямоугольного сечения, пересечение с радиальными стойками декорировано накладными концентрическими розетками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87"/>
              </w:rPr>
              <w:drawing>
                <wp:inline distT="0" distB="0" distL="0" distR="0">
                  <wp:extent cx="2261235" cy="1250315"/>
                  <wp:effectExtent l="0" t="0" r="0" b="0"/>
                  <wp:docPr id="13310255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25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</w:pP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эркеры фасадов, обращенных к шлюзовой камере, на 4 кронштейнах с профилем типа "гусек", торцы кронштейнов декорированы "шайбами", цокольные и венчающие карнизы эркеров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54"/>
              </w:rPr>
              <w:drawing>
                <wp:inline distT="0" distB="0" distL="0" distR="0">
                  <wp:extent cx="2261235" cy="2101215"/>
                  <wp:effectExtent l="0" t="0" r="0" b="0"/>
                  <wp:docPr id="21253027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10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</w:pP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прямоугольные в плане пилоны, завершенные приставными двухколонными портиками с треугольными фронтонами, на северо-западных фасадах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78"/>
              </w:rPr>
              <w:drawing>
                <wp:inline distT="0" distB="0" distL="0" distR="0">
                  <wp:extent cx="2261235" cy="2407285"/>
                  <wp:effectExtent l="0" t="0" r="0" b="0"/>
                  <wp:docPr id="17884662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407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</w:pP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железобетонная лестница на консолях квадратного сечения, ведущая в помещения 2-го этажа, на противоположных шлюзовой камере фасадах; дверные проемы 2-го этажа с лучковыми перемычками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36"/>
              </w:rPr>
              <w:drawing>
                <wp:inline distT="0" distB="0" distL="0" distR="0">
                  <wp:extent cx="2261235" cy="1875155"/>
                  <wp:effectExtent l="0" t="0" r="0" b="0"/>
                  <wp:docPr id="1354742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875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</w:pP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венчающие профилированные карнизы среднего выноса, поддерживаемые частыми фигурными кронштейнами;</w:t>
            </w:r>
          </w:p>
          <w:p w:rsidR="002F658D" w:rsidRDefault="002F658D">
            <w:pPr>
              <w:pStyle w:val="ConsPlusNormal"/>
            </w:pPr>
            <w:r>
              <w:t>парапетные стенки над карнизом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69"/>
              </w:rPr>
              <w:drawing>
                <wp:inline distT="0" distB="0" distL="0" distR="0">
                  <wp:extent cx="2261235" cy="1023620"/>
                  <wp:effectExtent l="0" t="0" r="0" b="0"/>
                  <wp:docPr id="14930897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  <w:r>
              <w:t>Объемно-пространственная композиция зданий вспомогательных служб шлюза N 11 на период 1952 г.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прямоугольные в плане одноэтажные объемы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98"/>
              </w:rPr>
              <w:drawing>
                <wp:inline distT="0" distB="0" distL="0" distR="0">
                  <wp:extent cx="2261235" cy="1396365"/>
                  <wp:effectExtent l="0" t="0" r="0" b="0"/>
                  <wp:docPr id="6555674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39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  <w:r>
              <w:t>Композиция и декоративное убранство фасадов зданий вспомогательных служб шлюза N 11 на период 1952 г.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выступающий цоколь; руст штукатурного покрытия; двустворчатые столярные заполнения дверных проемов, декорированные филенками, металлическими декоративными шайбами и массивными ручками в виде колец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>
                  <wp:extent cx="2261235" cy="1729105"/>
                  <wp:effectExtent l="0" t="0" r="0" b="0"/>
                  <wp:docPr id="6612568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2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658D" w:rsidRDefault="002F658D">
            <w:pPr>
              <w:pStyle w:val="ConsPlusNormal"/>
              <w:jc w:val="center"/>
            </w:pPr>
          </w:p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76"/>
              </w:rPr>
              <w:drawing>
                <wp:inline distT="0" distB="0" distL="0" distR="0">
                  <wp:extent cx="2261235" cy="1116965"/>
                  <wp:effectExtent l="0" t="0" r="0" b="0"/>
                  <wp:docPr id="4561326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11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658D" w:rsidRDefault="002F658D">
            <w:pPr>
              <w:pStyle w:val="ConsPlusNormal"/>
              <w:jc w:val="center"/>
            </w:pPr>
          </w:p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lastRenderedPageBreak/>
              <w:drawing>
                <wp:inline distT="0" distB="0" distL="0" distR="0">
                  <wp:extent cx="2261235" cy="1795145"/>
                  <wp:effectExtent l="0" t="0" r="0" b="0"/>
                  <wp:docPr id="3895745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9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  <w:r>
              <w:t>Объемно-пространственная композиция зданий управления верхней головы шлюза N 11 на период 1952 г.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прямоугольные в плане многоуровневые (в 2 этажа) объемы с открытыми галереями вдоль шлюзовой камеры и парами лестниц в один марш, ведущих на галереи;</w:t>
            </w:r>
          </w:p>
          <w:p w:rsidR="002F658D" w:rsidRDefault="002F658D">
            <w:pPr>
              <w:pStyle w:val="ConsPlusNormal"/>
            </w:pPr>
            <w:r>
              <w:t>габариты и формы плоских крыш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36"/>
              </w:rPr>
              <w:drawing>
                <wp:inline distT="0" distB="0" distL="0" distR="0">
                  <wp:extent cx="2261235" cy="1875155"/>
                  <wp:effectExtent l="0" t="0" r="0" b="0"/>
                  <wp:docPr id="1200980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875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  <w:r>
              <w:t>Композиция и декоративное убранство фасадов зданий управления верхней головы шлюза N 11 на период 1952 г.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руст штукатурного покрытия; лучковые завершения дверных проемов торцевых фасадов;</w:t>
            </w:r>
          </w:p>
          <w:p w:rsidR="002F658D" w:rsidRDefault="002F658D">
            <w:pPr>
              <w:pStyle w:val="ConsPlusNormal"/>
            </w:pPr>
            <w:r>
              <w:t>сандрики над дверными проемами 1-го этажа в виде трехступенчатых веерных декоративных "замков";</w:t>
            </w:r>
          </w:p>
          <w:p w:rsidR="002F658D" w:rsidRDefault="002F658D">
            <w:pPr>
              <w:pStyle w:val="ConsPlusNormal"/>
            </w:pPr>
            <w:r>
              <w:t xml:space="preserve">двустворчатые столярные заполнения дверных проемов, декорированные филенками, декоративными металлическими </w:t>
            </w:r>
            <w:r>
              <w:lastRenderedPageBreak/>
              <w:t>шайбами и массивными ручками в виде колец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lastRenderedPageBreak/>
              <w:drawing>
                <wp:inline distT="0" distB="0" distL="0" distR="0">
                  <wp:extent cx="2261235" cy="1542415"/>
                  <wp:effectExtent l="0" t="0" r="0" b="0"/>
                  <wp:docPr id="9439274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4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658D" w:rsidRDefault="002F658D">
            <w:pPr>
              <w:pStyle w:val="ConsPlusNormal"/>
              <w:jc w:val="center"/>
            </w:pPr>
          </w:p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42"/>
              </w:rPr>
              <w:lastRenderedPageBreak/>
              <w:drawing>
                <wp:inline distT="0" distB="0" distL="0" distR="0">
                  <wp:extent cx="2261235" cy="1955165"/>
                  <wp:effectExtent l="0" t="0" r="0" b="0"/>
                  <wp:docPr id="7001389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95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658D" w:rsidRDefault="002F658D">
            <w:pPr>
              <w:pStyle w:val="ConsPlusNormal"/>
              <w:jc w:val="center"/>
            </w:pPr>
          </w:p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95"/>
              </w:rPr>
              <w:drawing>
                <wp:inline distT="0" distB="0" distL="0" distR="0">
                  <wp:extent cx="2261235" cy="2620010"/>
                  <wp:effectExtent l="0" t="0" r="0" b="0"/>
                  <wp:docPr id="1573201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620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</w:pP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небольшие металлические барельефы-флагштоки в виде варяжского щита с дубовыми листьями, фланкирующие дверные проемы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33"/>
              </w:rPr>
              <w:drawing>
                <wp:inline distT="0" distB="0" distL="0" distR="0">
                  <wp:extent cx="2261235" cy="1835150"/>
                  <wp:effectExtent l="0" t="0" r="0" b="0"/>
                  <wp:docPr id="12234252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83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</w:pP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высокие (на 2/3 высоты фасадов) технологические проемы - по два на фасадах, обращенных к шлюзовой камере, и по одному на противоположных фасадах;</w:t>
            </w:r>
          </w:p>
          <w:p w:rsidR="002F658D" w:rsidRDefault="002F658D">
            <w:pPr>
              <w:pStyle w:val="ConsPlusNormal"/>
            </w:pPr>
            <w:r>
              <w:t xml:space="preserve">металлические ограждения технологических проемов; частый ряд стоек с завершениями в виде литых пик, с перевязкой в нижних частях широкими профилями с накладными концентрическими розетками (по 3 на каждом профиле), в верхней части перевязаны поясами с наложением декоративных трехчастных металлических гирлянд с розетками, накладные металлические литые элементы центральной части ограждений в виде композиции из якоря с наложением вытянутого, вертикально ориентированного накладного восьмиугольного щита с </w:t>
            </w:r>
            <w:r>
              <w:lastRenderedPageBreak/>
              <w:t>растительным орнаментом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72"/>
              </w:rPr>
              <w:lastRenderedPageBreak/>
              <w:drawing>
                <wp:inline distT="0" distB="0" distL="0" distR="0">
                  <wp:extent cx="2261235" cy="2327275"/>
                  <wp:effectExtent l="0" t="0" r="0" b="0"/>
                  <wp:docPr id="9904032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32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</w:pP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прямоугольные в плане пилоны, завершенные приставными двухколонными портиками с треугольными фронтонами, на юго-восточных фасадах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251"/>
              </w:rPr>
              <w:drawing>
                <wp:inline distT="0" distB="0" distL="0" distR="0">
                  <wp:extent cx="2261235" cy="3338195"/>
                  <wp:effectExtent l="0" t="0" r="0" b="0"/>
                  <wp:docPr id="15632578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33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</w:pP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подоконные полочки проемов 2-го этажа восточных фасадов; металлические ограждения оконных проемов, фигурные решетки с наложением декоративных трехчастных металлических гирлянд с розетками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34"/>
              </w:rPr>
              <w:drawing>
                <wp:inline distT="0" distB="0" distL="0" distR="0">
                  <wp:extent cx="2261235" cy="1848485"/>
                  <wp:effectExtent l="0" t="0" r="0" b="0"/>
                  <wp:docPr id="18599099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84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</w:pP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венчающие карнизы среднего выноса, поддерживаемые частыми фигурными кронштейнами;</w:t>
            </w:r>
          </w:p>
          <w:p w:rsidR="002F658D" w:rsidRDefault="002F658D">
            <w:pPr>
              <w:pStyle w:val="ConsPlusNormal"/>
            </w:pPr>
            <w:r>
              <w:t>парапетные стенки над карнизами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>
                  <wp:extent cx="2261235" cy="1542415"/>
                  <wp:effectExtent l="0" t="0" r="0" b="0"/>
                  <wp:docPr id="9548745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4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  <w:r>
              <w:t>Материалы и характер обработки фасадов зданий шлюза N 11 на период 1952 г.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кирпичные стены;</w:t>
            </w:r>
          </w:p>
          <w:p w:rsidR="002F658D" w:rsidRDefault="002F658D">
            <w:pPr>
              <w:pStyle w:val="ConsPlusNormal"/>
            </w:pPr>
            <w:r>
              <w:t>характер обработки фасадов - терразитовая штукатурка с обработкой бучардой;</w:t>
            </w:r>
          </w:p>
          <w:p w:rsidR="002F658D" w:rsidRDefault="002F658D">
            <w:pPr>
              <w:pStyle w:val="ConsPlusNormal"/>
            </w:pPr>
            <w:r>
              <w:t>цветовые решения фасадов на период 1952 г.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>
                  <wp:extent cx="2261235" cy="1542415"/>
                  <wp:effectExtent l="0" t="0" r="0" b="0"/>
                  <wp:docPr id="21291617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4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58D">
        <w:tc>
          <w:tcPr>
            <w:tcW w:w="567" w:type="dxa"/>
          </w:tcPr>
          <w:p w:rsidR="002F658D" w:rsidRDefault="002F658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8" w:type="dxa"/>
          </w:tcPr>
          <w:p w:rsidR="002F658D" w:rsidRDefault="002F658D">
            <w:pPr>
              <w:pStyle w:val="ConsPlusNormal"/>
            </w:pPr>
            <w:r>
              <w:t>Принципиальная конструктивная схема зданий шлюза N 11 на период 1952 г.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</w:pPr>
            <w:r>
              <w:t>расположение, количество, конфигурация и габариты проемов;</w:t>
            </w:r>
          </w:p>
          <w:p w:rsidR="002F658D" w:rsidRDefault="002F658D">
            <w:pPr>
              <w:pStyle w:val="ConsPlusNormal"/>
            </w:pPr>
            <w:r>
              <w:t>капитальные стены, опорные конструкции, перекрытия и другие конструктивные элементы, формирующие несущий каркас зданий, их расположение,</w:t>
            </w:r>
          </w:p>
          <w:p w:rsidR="002F658D" w:rsidRDefault="002F658D">
            <w:pPr>
              <w:pStyle w:val="ConsPlusNormal"/>
            </w:pPr>
            <w:r>
              <w:t>конструкция и материалы;</w:t>
            </w:r>
          </w:p>
          <w:p w:rsidR="002F658D" w:rsidRDefault="002F658D">
            <w:pPr>
              <w:pStyle w:val="ConsPlusNormal"/>
            </w:pPr>
            <w:r>
              <w:t>местоположение лестниц, материалы и конструкция;</w:t>
            </w:r>
          </w:p>
          <w:p w:rsidR="002F658D" w:rsidRDefault="002F658D">
            <w:pPr>
              <w:pStyle w:val="ConsPlusNormal"/>
            </w:pPr>
            <w:r>
              <w:t xml:space="preserve">ограждение транспортных проездов из литых мачт освещения с декором, литых столбиков и ограждения между ними в виде якорных цепей с </w:t>
            </w:r>
            <w:r>
              <w:lastRenderedPageBreak/>
              <w:t>провисом</w:t>
            </w:r>
          </w:p>
        </w:tc>
        <w:tc>
          <w:tcPr>
            <w:tcW w:w="3685" w:type="dxa"/>
          </w:tcPr>
          <w:p w:rsidR="002F658D" w:rsidRDefault="002F658D">
            <w:pPr>
              <w:pStyle w:val="ConsPlusNormal"/>
              <w:jc w:val="center"/>
            </w:pPr>
          </w:p>
        </w:tc>
      </w:tr>
    </w:tbl>
    <w:p w:rsidR="002F658D" w:rsidRDefault="002F658D">
      <w:pPr>
        <w:pStyle w:val="ConsPlusNormal"/>
        <w:jc w:val="both"/>
      </w:pPr>
    </w:p>
    <w:p w:rsidR="002F658D" w:rsidRDefault="002F658D">
      <w:pPr>
        <w:pStyle w:val="ConsPlusNormal"/>
        <w:jc w:val="both"/>
      </w:pPr>
    </w:p>
    <w:p w:rsidR="002F658D" w:rsidRDefault="002F658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2F658D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8D"/>
    <w:rsid w:val="002F658D"/>
    <w:rsid w:val="006813C0"/>
    <w:rsid w:val="009F2807"/>
    <w:rsid w:val="00A9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CC182-E2FD-4D9B-AE68-0D8D58DB0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658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F658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F658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65A8241563F05FBB952E65719D10BD6DC681CD4F42C5F6E2F2314095E3A8966E46BD85E631043482F887204F69B9FD90A4BF2A21258FE8CC2165CF19jDv7O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65A8241563F05FBB952E7B7C8B7CE268C48A914443CFFFBDA76146C2BCF8903B06FD83B372403982F88C741F2DE7A4C2E1F427273A93E8CBj3vBO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65A8241563F05FBB952E7B7C8B7CE268C582904642C6FFBDA76146C2BCF8903B14FDDBBF71412783FD99224E6BjBv6O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1264</Words>
  <Characters>7210</Characters>
  <Application>Microsoft Office Word</Application>
  <DocSecurity>0</DocSecurity>
  <Lines>60</Lines>
  <Paragraphs>16</Paragraphs>
  <ScaleCrop>false</ScaleCrop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2024-05-31T14:47:00Z</dcterms:created>
  <dcterms:modified xsi:type="dcterms:W3CDTF">2024-05-31T14:47:00Z</dcterms:modified>
</cp:coreProperties>
</file>