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D8" w:rsidRDefault="000208D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208D8" w:rsidRDefault="000208D8">
      <w:pPr>
        <w:pStyle w:val="ConsPlusNormal"/>
        <w:outlineLvl w:val="0"/>
      </w:pPr>
    </w:p>
    <w:p w:rsidR="000208D8" w:rsidRDefault="000208D8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0208D8" w:rsidRDefault="000208D8">
      <w:pPr>
        <w:pStyle w:val="ConsPlusTitle"/>
        <w:jc w:val="center"/>
      </w:pPr>
    </w:p>
    <w:p w:rsidR="000208D8" w:rsidRDefault="000208D8">
      <w:pPr>
        <w:pStyle w:val="ConsPlusTitle"/>
        <w:jc w:val="center"/>
      </w:pPr>
      <w:r>
        <w:t>ПРИКАЗ</w:t>
      </w:r>
    </w:p>
    <w:p w:rsidR="000208D8" w:rsidRDefault="000208D8">
      <w:pPr>
        <w:pStyle w:val="ConsPlusTitle"/>
        <w:jc w:val="center"/>
      </w:pPr>
      <w:r>
        <w:t>от 22 октября 2012 г. N 01-20/319</w:t>
      </w:r>
    </w:p>
    <w:p w:rsidR="000208D8" w:rsidRDefault="000208D8">
      <w:pPr>
        <w:pStyle w:val="ConsPlusTitle"/>
        <w:jc w:val="center"/>
      </w:pPr>
    </w:p>
    <w:p w:rsidR="000208D8" w:rsidRDefault="000208D8">
      <w:pPr>
        <w:pStyle w:val="ConsPlusTitle"/>
        <w:jc w:val="center"/>
      </w:pPr>
      <w:r>
        <w:t>ОБ УТВЕРЖДЕНИИ ОПИСАНИЯ ОСОБЕННОСТЕЙ, ПОСЛУЖИВШИХ</w:t>
      </w:r>
    </w:p>
    <w:p w:rsidR="000208D8" w:rsidRDefault="000208D8">
      <w:pPr>
        <w:pStyle w:val="ConsPlusTitle"/>
        <w:jc w:val="center"/>
      </w:pPr>
      <w:r>
        <w:t>ОСНОВАНИЯМИ ДЛЯ ВКЛЮЧЕНИЯ В РЕЕСТР И ПОДЛЕЖАЩИХ</w:t>
      </w:r>
    </w:p>
    <w:p w:rsidR="000208D8" w:rsidRDefault="000208D8">
      <w:pPr>
        <w:pStyle w:val="ConsPlusTitle"/>
        <w:jc w:val="center"/>
      </w:pPr>
      <w:r>
        <w:t>ОБЯЗАТЕЛЬНОМУ СОХРАНЕНИЮ (ПРЕДМЕТА ОХРАНЫ), ОБЪЕКТА</w:t>
      </w:r>
    </w:p>
    <w:p w:rsidR="000208D8" w:rsidRDefault="000208D8">
      <w:pPr>
        <w:pStyle w:val="ConsPlusTitle"/>
        <w:jc w:val="center"/>
      </w:pPr>
      <w:r>
        <w:t>КУЛЬТУРНОГО НАСЛЕДИЯ РЕГИОНАЛЬНОГО ЗНАЧЕНИЯ</w:t>
      </w:r>
    </w:p>
    <w:p w:rsidR="000208D8" w:rsidRDefault="000208D8">
      <w:pPr>
        <w:pStyle w:val="ConsPlusTitle"/>
        <w:jc w:val="center"/>
      </w:pPr>
      <w:r>
        <w:t>"ДК ИМ. ЛЕНИНА", 1960 Г.</w:t>
      </w: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едином государственном реестре объектов культурного наследия (памятниках истории и культуры) народов Российской Федерации, утвержденным приказом Минкультуры России от 3 октября 2011 г. N 954,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</w:t>
      </w:r>
      <w:proofErr w:type="gramEnd"/>
      <w:r>
        <w:t xml:space="preserve"> от 22 мая 2012 г. N 101-п, приказываю: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0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(предмета охраны), объекта культурного наследия регионального значения "ДК им. Ленина", 1960 г., расположенного по адресу: </w:t>
      </w:r>
      <w:proofErr w:type="gramStart"/>
      <w:r>
        <w:t>Волгоградская область, г. Волгоград, Краснооктябрьский район, пр. им. В.И. Ленина, 97, согласно приложению.</w:t>
      </w:r>
      <w:proofErr w:type="gramEnd"/>
    </w:p>
    <w:p w:rsidR="000208D8" w:rsidRDefault="000208D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jc w:val="right"/>
      </w:pPr>
      <w:r>
        <w:t>Министр культуры</w:t>
      </w:r>
    </w:p>
    <w:p w:rsidR="000208D8" w:rsidRDefault="000208D8">
      <w:pPr>
        <w:pStyle w:val="ConsPlusNormal"/>
        <w:jc w:val="right"/>
      </w:pPr>
      <w:r>
        <w:t>Волгоградской области</w:t>
      </w:r>
    </w:p>
    <w:p w:rsidR="000208D8" w:rsidRDefault="000208D8">
      <w:pPr>
        <w:pStyle w:val="ConsPlusNormal"/>
        <w:jc w:val="right"/>
      </w:pPr>
      <w:r>
        <w:t>В.П.ГЕПФНЕР</w:t>
      </w: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jc w:val="right"/>
        <w:outlineLvl w:val="0"/>
      </w:pPr>
      <w:r>
        <w:t>Приложение</w:t>
      </w:r>
    </w:p>
    <w:p w:rsidR="000208D8" w:rsidRDefault="000208D8">
      <w:pPr>
        <w:pStyle w:val="ConsPlusNormal"/>
        <w:jc w:val="right"/>
      </w:pPr>
      <w:r>
        <w:t>к приказу</w:t>
      </w:r>
    </w:p>
    <w:p w:rsidR="000208D8" w:rsidRDefault="000208D8">
      <w:pPr>
        <w:pStyle w:val="ConsPlusNormal"/>
        <w:jc w:val="right"/>
      </w:pPr>
      <w:r>
        <w:t>министерства культуры</w:t>
      </w:r>
    </w:p>
    <w:p w:rsidR="000208D8" w:rsidRDefault="000208D8">
      <w:pPr>
        <w:pStyle w:val="ConsPlusNormal"/>
        <w:jc w:val="right"/>
      </w:pPr>
      <w:r>
        <w:t>Волгоградской области</w:t>
      </w:r>
    </w:p>
    <w:p w:rsidR="000208D8" w:rsidRDefault="000208D8">
      <w:pPr>
        <w:pStyle w:val="ConsPlusNormal"/>
        <w:jc w:val="right"/>
      </w:pPr>
      <w:r>
        <w:t>от 22 октября 2012 г. N 01-20/319</w:t>
      </w: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Title"/>
        <w:jc w:val="center"/>
      </w:pPr>
      <w:bookmarkStart w:id="0" w:name="P30"/>
      <w:bookmarkEnd w:id="0"/>
      <w:r>
        <w:t>ОПИСАНИЕ ОСОБЕННОСТЕЙ, ПОСЛУЖИВШИХ ОСНОВАНИЯМИ ДЛЯ ВКЛЮЧЕНИЯ</w:t>
      </w:r>
    </w:p>
    <w:p w:rsidR="000208D8" w:rsidRDefault="000208D8">
      <w:pPr>
        <w:pStyle w:val="ConsPlusTitle"/>
        <w:jc w:val="center"/>
      </w:pPr>
      <w:r>
        <w:t>В РЕЕСТР И ПОДЛЕЖАЩИХ ОБЯЗАТЕЛЬНОМУ СОХРАНЕНИЮ</w:t>
      </w:r>
    </w:p>
    <w:p w:rsidR="000208D8" w:rsidRDefault="000208D8">
      <w:pPr>
        <w:pStyle w:val="ConsPlusTitle"/>
        <w:jc w:val="center"/>
      </w:pPr>
      <w:r>
        <w:t>(ПРЕДМЕТА ОХРАНЫ), ОБЪЕКТА КУЛЬТУРНОГО НАСЛЕДИЯ</w:t>
      </w:r>
    </w:p>
    <w:p w:rsidR="000208D8" w:rsidRDefault="000208D8">
      <w:pPr>
        <w:pStyle w:val="ConsPlusTitle"/>
        <w:jc w:val="center"/>
      </w:pPr>
      <w:r>
        <w:t>РЕГИОНАЛЬНОГО ЗНАЧЕНИЯ "ДК ИМ. ЛЕНИНА", 1960 Г.</w:t>
      </w: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  <w:r>
        <w:t>Особенностями, послужившими основаниями для включения в реестр и подлежащими обязательному сохранению (предметом охраны), объекта культурного наследия регионального значения "ДК им. Ленина", 1960 г., являются: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 xml:space="preserve">местоположение и градостроительные характеристики здания, закрепляющего пересечение бульвара пр. им. В.И. Ленина с бульваром пр. Металлургов и формирующего северную сторону </w:t>
      </w:r>
      <w:r>
        <w:lastRenderedPageBreak/>
        <w:t>предзаводской площади, его роль в композиционно-планировочной структуре как композиционного ядра южного угла квартала N 02 00 79;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объемно-пространственная композиция четырехуровневого (по центральной поперечной оси с повышением до 5 уровней) с подвалом прямоугольного в плане, ориентированного по оси северо-восток - юго-запад, симметричного объема с центральными ризалитами протяженных фасадов с портиком на юго-восточном (главном) и ротондой на северо-западном (тыльном) фасадах;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габариты, конструкция и многощипцовая форма крыши, высотные отметки кровли 1952 г.;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архитектурно-</w:t>
      </w:r>
      <w:proofErr w:type="gramStart"/>
      <w:r>
        <w:t>композиционное решение</w:t>
      </w:r>
      <w:proofErr w:type="gramEnd"/>
      <w:r>
        <w:t xml:space="preserve"> и художественное оформление фасадов, включая: центральный ризалит юго-восточного (главного по пр. им. В.И. Ленина) фасада - цоколь и разделенная на 3 части парапетными стенками лестница центрального входа, облицованные гранитными плитами; двенадцатиколонный, большого дорического ордера портик центрального ризалита и его элементы - колонны на прямоугольных основаниях с базами, композитными капителями (с наложением пятиконечных звезд, декором эхина в виде растительного орнамента и ионик), квадратными абаками; антаблемент со ступенчатым архитравом, декорированным лепными перевитыми гирляндами и шайбами фризом, четырехступенчатый карниз значительного выноса; кессонированный потолок портика; ниша в 3 световых оси по центру ризалита; оконные проемы 1, 2 и 3-го этажей с полуциркульными завершениями, обращенные на центральную нишу; многообломный карниз на уровне перекрытия 2-го этажа; декоративные элементы центральной ниши - многообломный карниз на уровне перекрытия 1-го этажа, лоджия второго этажа, карнизный пояс по верхнему краю ограждения лоджии, прямоугольные оконные проемы в два света (уровень 2-го и 3-го этажей), балюстрады ограждений оконных проемов, решенные в виде лопаток простенки оконных проемов, венчающий многообломный карниз с сухариками; </w:t>
      </w:r>
      <w:proofErr w:type="gramStart"/>
      <w:r>
        <w:t>возвышающийся над портиком объем центрального ризалита с треугольным фронтоном, разделенный по центру арочной нишей в 3 световых оси с полуциркульным завершением и его элементы - каннелированные лопатки, венчающий разорванный карниз фронтона, трехчастные оконные проемы ниши и остекленным полуциркульным завершением; боковые крылья юго-восточного (главного по пр. им. В.И. Ленина) фасада - облицованный гранитом цоколь;</w:t>
      </w:r>
      <w:proofErr w:type="gramEnd"/>
      <w:r>
        <w:t xml:space="preserve"> </w:t>
      </w:r>
      <w:proofErr w:type="gramStart"/>
      <w:r>
        <w:t>стилизованные дорические полуколонны в простенках оконных проемов, идентичные по декору колоннам портика; оформление оконных проемов 1-го этажа в виде подоконных полочек на фигурных кронштейнах; оконные проемы 2-го этажа с полуциркульными завершениями, декорированные ступенчатыми импостами и профилированными выступающими архивольтами; французские оконные проемы 3-го этажа и их ограждения в виде балясника, поддерживаемого трехступенчатыми кронштейнами;</w:t>
      </w:r>
      <w:proofErr w:type="gramEnd"/>
      <w:r>
        <w:t xml:space="preserve"> ступенчатый архитрав, гладкий фриз и многообломный венчающий карниз; юго-западный, торцевой фасад по пр. Металлургов - трехчастная гранитная лестница; цоколь, облицованный полированным гранитом; 8 стилизованных дорических полуколонн, образующих небольшой ризалит, идентичных по декору колоннам портика; оконные проемы с полуциркульными завершениями лестничных узлов по крайним световым осям (не совпадают с проемами ризалита); многообломный карниз на уровне перекрытия 2-го этажа; рамочные профилированные наличники проемов 1-го этажа ризалита; </w:t>
      </w:r>
      <w:proofErr w:type="gramStart"/>
      <w:r>
        <w:t>оконные проемы 2-го и 3-го этажей, идентичные по решению проемам боковых крыльев юго-восточного фасада; антаблемент со ступенчатым архитравом, декорированным лепными перевитыми гирляндами и шайбами фризом, четырехступенчатый карниз значительного выноса; разорванный треугольный фронтон с полуциркульным трехчастным оконным проемом; северо-восточный торцевой фасад - штукатурный цоколь; 8 стилизованных дорических полуколонн, образующих небольшой ризалит, идентичных по декору колоннам портика;</w:t>
      </w:r>
      <w:proofErr w:type="gramEnd"/>
      <w:r>
        <w:t xml:space="preserve"> </w:t>
      </w:r>
      <w:proofErr w:type="gramStart"/>
      <w:r>
        <w:t>оконные проемы с полуциркульными завершениями лестничных узлов по крайним световым осям; многообломный карниз на уровне перекрытия 2-го этажа; антаблемент со ступенчатым архитравом, декорированным лепными перевитыми гирляндами и шайбами фризом, четырехступенчатый карниз значительного выноса; разорванный треугольный фронтон с трехчастным оконным проемом; центральный ризалит дворового фасада с открытой полуротондой - колонны полуротонды, идентичные по декору колоннам портика;</w:t>
      </w:r>
      <w:proofErr w:type="gramEnd"/>
      <w:r>
        <w:t xml:space="preserve"> </w:t>
      </w:r>
      <w:proofErr w:type="gramStart"/>
      <w:r>
        <w:lastRenderedPageBreak/>
        <w:t>антаблемент полуротонды со ступенчатым архитравом, декорированным лепными перевитыми гирляндами и шайбами фризом, четырехступенчатый карниз значительного выноса; многообломный карниз ризалита на уровне перекрытия 2-го этажа; прямоугольные оконные проемы в два света (уровень 2-го и 3-го этажей) по пяти центральным световым осям; антаблемент со ступенчатым архитравом, гладким фризом и четырехступенчатым карнизом значительного выноса на уровне антаблемента полуротонды;</w:t>
      </w:r>
      <w:proofErr w:type="gramEnd"/>
      <w:r>
        <w:t xml:space="preserve"> возвышающийся над полуротондой объем центрального ризалита с треугольным фронтоном; трехчастные прямоугольные оконные проемы (центральная часть сдвоена); полуциркульный оконный проем тимпана; карнизы фронтона; боковые крылья дворового фасада решены идентично боковым крыльям главного фасада, за исключением оштукатуренного цоколя;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расположение, количество, конфигурация и габариты проемов;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расстекловочная схема оконных и дверных заполнений на период 1960 г.;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интерьеров в приделах капитальных стен и опорных конструкций 1960 г.;</w:t>
      </w:r>
    </w:p>
    <w:p w:rsidR="000208D8" w:rsidRDefault="000208D8">
      <w:pPr>
        <w:pStyle w:val="ConsPlusNormal"/>
        <w:spacing w:before="220"/>
        <w:ind w:firstLine="540"/>
        <w:jc w:val="both"/>
      </w:pPr>
      <w:proofErr w:type="gramStart"/>
      <w:r>
        <w:t>декоративное убранство интерьеров, предусмотренное первоначальным проектом: помещения подвала N 6 - 8 (согласно плану БТИ) - потолочные розетки; помещения 1-го этажа: кассовый зал (N 107 согласно плану БТИ) - фриз с розетками, потолочный карниз, потолочные розетки; центральный холл (N 61 согласно плану БТИ) - дорическая колоннада, потолочные карнизы, балки с филенками, лепнина свода в виде звезд, потолочные розетки, коробовый свод;</w:t>
      </w:r>
      <w:proofErr w:type="gramEnd"/>
      <w:r>
        <w:t xml:space="preserve"> кулуары (N 65, 103 согласно плану БТИ) - потолочные карнизы, розетки; зрительный зал (N 95 согласно плану БТИ) с тремя ярусами и зрительными лоджиями - полукруглый антаблемент перекрытия зала (современный декор не является подлинным); танцевальный зал (N 45 согласно плану БТИ) - карниз с мутулами, лепной растительный орнамент, лепнина потолка в виде розеток; </w:t>
      </w:r>
      <w:proofErr w:type="gramStart"/>
      <w:r>
        <w:t>полукруглое в плане помещение бывшего кафе - дорическая колоннада, потолочный карниз; административные и служебные помещения - потолочные карнизы, филенки, розетки; помещения 2-го этажа: центральный холл (N 37 согласно плану БТИ) - коринфская колоннада, коринфские пилястры, потолочные карнизы с модульонами, сухариками, розетками, потолочные балки, розетки; кулуары (N 67, 41 согласно плану БТИ) - карниз с модульонами, потолочные розетки;</w:t>
      </w:r>
      <w:proofErr w:type="gramEnd"/>
      <w:r>
        <w:t xml:space="preserve"> </w:t>
      </w:r>
      <w:proofErr w:type="gramStart"/>
      <w:r>
        <w:t>малый зал (N 19 согласно плану БТИ) - межэтажный карниз, лепной фриз, многообломный карниз, балюстрада ограждения, световой фонарь перекрытия; рекреации, административные и служебные помещения - потолочные карнизы, филенки, розетки; помещения 3-го этажа: служебные помещения (N 4 - 9, 69) - обрамления дверных проемов, потолочные карнизы, розетки; (N 69 согласно плану БТИ) - потолочные карнизы, розетки;</w:t>
      </w:r>
      <w:proofErr w:type="gramEnd"/>
      <w:r>
        <w:t xml:space="preserve"> помещения 4-го и 5-го этажей: спортивный зал (N 7 согласно плану БТИ) - световой фонарь; для всего здания - подлинные осветительные приборы (включая большую люстру зрительного зала, перенесенную из другого помещения), подлинные дверные заполнения, подлинное покрытие полов: мраморные наливные и паркет; металлические ограждения лестниц;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характер обработки фасадной поверхности: штукатурка, цоколь главного фасада - облицовка гранитом;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расположение, количество, конфигурация и габариты проемов;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капитальные стены, опорные конструкции, перекрытия и другие конструктивные элементы, формирующие несущий каркас здания, их расположение, конструкция и материалы на период 1960 г.;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местоположение лестниц, материалы и конструкция;</w:t>
      </w:r>
    </w:p>
    <w:p w:rsidR="000208D8" w:rsidRDefault="000208D8">
      <w:pPr>
        <w:pStyle w:val="ConsPlusNormal"/>
        <w:spacing w:before="220"/>
        <w:ind w:firstLine="540"/>
        <w:jc w:val="both"/>
      </w:pPr>
      <w:r>
        <w:t>изначальные цветовые решения фасадов.</w:t>
      </w: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ind w:firstLine="540"/>
        <w:jc w:val="both"/>
      </w:pPr>
    </w:p>
    <w:p w:rsidR="000208D8" w:rsidRDefault="000208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08D8" w:rsidRDefault="000208D8">
      <w:bookmarkStart w:id="1" w:name="_GoBack"/>
      <w:bookmarkEnd w:id="1"/>
    </w:p>
    <w:sectPr w:rsidR="000208D8" w:rsidSect="00ED6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D8"/>
    <w:rsid w:val="0002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0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0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08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0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0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08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2F5F0AF338D4092A16421302A1DB681EF4EE16C7D126C375211C94C76E687F79E8C5AE2C4B1747CDDB982ECDB744478941483AB830000F2B03A1uES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A2F5F0AF338D4092A165C1E14CD846D1FFDB312C6D225942D7E47C9906762283EA79CEC68461646CCD0CD7E82B61801D9524B3DB8330213u2S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2F5F0AF338D4092A165C1E14CD846D1FFCB318C9D225942D7E47C9906762282CA7C4E06A430846CFC59B2FC4uES3F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1536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2020-12-25T05:18:00Z</dcterms:created>
  <dcterms:modified xsi:type="dcterms:W3CDTF">2020-12-25T05:20:00Z</dcterms:modified>
</cp:coreProperties>
</file>