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302A16" w14:textId="522C08FC" w:rsidR="00EA684C" w:rsidRDefault="00EA684C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EA684C">
        <w:t>Приказ комитета государственной охраны объектов культурного наследия Волгоградской обл. от 11.07.2024 N 252-од "Об утверждении предмета охраны объекта культурного наследия регионального значения "Купеческий особняк (конторское здание)", расположенного по адресу (местонахождение): Волгоградская область, г. Волгоград, Центральный район, ул. Порт-Саида, 9а"</w:t>
      </w:r>
    </w:p>
    <w:p w14:paraId="52CB2DB0" w14:textId="77777777" w:rsidR="00EA684C" w:rsidRDefault="00EA684C">
      <w:pPr>
        <w:pStyle w:val="ConsPlusNormal"/>
        <w:jc w:val="both"/>
        <w:outlineLvl w:val="0"/>
      </w:pPr>
    </w:p>
    <w:p w14:paraId="57A48C68" w14:textId="77777777" w:rsidR="00EA684C" w:rsidRDefault="00EA684C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5EAB6758" w14:textId="77777777" w:rsidR="00EA684C" w:rsidRDefault="00EA684C">
      <w:pPr>
        <w:pStyle w:val="ConsPlusTitle"/>
        <w:jc w:val="center"/>
      </w:pPr>
      <w:r>
        <w:t>КУЛЬТУРНОГО НАСЛЕДИЯ ВОЛГОГРАДСКОЙ ОБЛАСТИ</w:t>
      </w:r>
    </w:p>
    <w:p w14:paraId="70A87495" w14:textId="77777777" w:rsidR="00EA684C" w:rsidRDefault="00EA684C">
      <w:pPr>
        <w:pStyle w:val="ConsPlusTitle"/>
        <w:jc w:val="both"/>
      </w:pPr>
    </w:p>
    <w:p w14:paraId="098D5B43" w14:textId="77777777" w:rsidR="00EA684C" w:rsidRDefault="00EA684C">
      <w:pPr>
        <w:pStyle w:val="ConsPlusTitle"/>
        <w:jc w:val="center"/>
      </w:pPr>
      <w:r>
        <w:t>ПРИКАЗ</w:t>
      </w:r>
    </w:p>
    <w:p w14:paraId="0EF2D8CF" w14:textId="77777777" w:rsidR="00EA684C" w:rsidRDefault="00EA684C">
      <w:pPr>
        <w:pStyle w:val="ConsPlusTitle"/>
        <w:jc w:val="center"/>
      </w:pPr>
      <w:r>
        <w:t>от 11 июля 2024 г. N 252-од</w:t>
      </w:r>
    </w:p>
    <w:p w14:paraId="15742AE9" w14:textId="77777777" w:rsidR="00EA684C" w:rsidRDefault="00EA684C">
      <w:pPr>
        <w:pStyle w:val="ConsPlusTitle"/>
        <w:jc w:val="both"/>
      </w:pPr>
    </w:p>
    <w:p w14:paraId="249ED87B" w14:textId="77777777" w:rsidR="00EA684C" w:rsidRDefault="00EA684C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7CE3A41F" w14:textId="77777777" w:rsidR="00EA684C" w:rsidRDefault="00EA684C">
      <w:pPr>
        <w:pStyle w:val="ConsPlusTitle"/>
        <w:jc w:val="center"/>
      </w:pPr>
      <w:r>
        <w:t>РЕГИОНАЛЬНОГО ЗНАЧЕНИЯ "КУПЕЧЕСКИЙ ОСОБНЯК (КОНТОРСКОЕ</w:t>
      </w:r>
    </w:p>
    <w:p w14:paraId="441C375E" w14:textId="77777777" w:rsidR="00EA684C" w:rsidRDefault="00EA684C">
      <w:pPr>
        <w:pStyle w:val="ConsPlusTitle"/>
        <w:jc w:val="center"/>
      </w:pPr>
      <w:r>
        <w:t>ЗДАНИЕ)", РАСПОЛОЖЕННОГО ПО АДРЕСУ (МЕСТОНАХОЖДЕНИЕ):</w:t>
      </w:r>
    </w:p>
    <w:p w14:paraId="0984DF9A" w14:textId="77777777" w:rsidR="00EA684C" w:rsidRDefault="00EA684C">
      <w:pPr>
        <w:pStyle w:val="ConsPlusTitle"/>
        <w:jc w:val="center"/>
      </w:pPr>
      <w:r>
        <w:t>ВОЛГОГРАДСКАЯ ОБЛАСТЬ, Г. ВОЛГОГРАД, ЦЕНТРАЛЬНЫЙ РАЙОН,</w:t>
      </w:r>
    </w:p>
    <w:p w14:paraId="4982D13D" w14:textId="77777777" w:rsidR="00EA684C" w:rsidRDefault="00EA684C">
      <w:pPr>
        <w:pStyle w:val="ConsPlusTitle"/>
        <w:jc w:val="center"/>
      </w:pPr>
      <w:r>
        <w:t>УЛ. ПОРТ-САИДА, 9А</w:t>
      </w:r>
    </w:p>
    <w:p w14:paraId="3AA1F723" w14:textId="77777777" w:rsidR="00EA684C" w:rsidRDefault="00EA684C">
      <w:pPr>
        <w:pStyle w:val="ConsPlusNormal"/>
        <w:jc w:val="both"/>
      </w:pPr>
    </w:p>
    <w:p w14:paraId="7292DBB8" w14:textId="77777777" w:rsidR="00EA684C" w:rsidRDefault="00EA684C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0704122A" w14:textId="77777777" w:rsidR="00EA684C" w:rsidRDefault="00EA684C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"Купеческий особняк (конторское здание)", расположенного по адресу (местонахождение): Волгоградская область, г. Волгоград, Центральный район, ул. Порт-Саида, 9а.</w:t>
      </w:r>
    </w:p>
    <w:p w14:paraId="42399386" w14:textId="77777777" w:rsidR="00EA684C" w:rsidRDefault="00EA684C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подписания.</w:t>
      </w:r>
    </w:p>
    <w:p w14:paraId="35DD5359" w14:textId="77777777" w:rsidR="00EA684C" w:rsidRDefault="00EA684C">
      <w:pPr>
        <w:pStyle w:val="ConsPlusNormal"/>
        <w:jc w:val="both"/>
      </w:pPr>
    </w:p>
    <w:p w14:paraId="06D344BE" w14:textId="77777777" w:rsidR="00EA684C" w:rsidRDefault="00EA684C">
      <w:pPr>
        <w:pStyle w:val="ConsPlusNormal"/>
        <w:jc w:val="right"/>
      </w:pPr>
      <w:r>
        <w:t>Председатель комитета</w:t>
      </w:r>
    </w:p>
    <w:p w14:paraId="7200E478" w14:textId="77777777" w:rsidR="00EA684C" w:rsidRDefault="00EA684C">
      <w:pPr>
        <w:pStyle w:val="ConsPlusNormal"/>
        <w:jc w:val="right"/>
      </w:pPr>
      <w:r>
        <w:t>А.Ю.БАЖЕНОВ</w:t>
      </w:r>
    </w:p>
    <w:p w14:paraId="2749B952" w14:textId="77777777" w:rsidR="00EA684C" w:rsidRDefault="00EA684C">
      <w:pPr>
        <w:pStyle w:val="ConsPlusNormal"/>
        <w:jc w:val="both"/>
      </w:pPr>
    </w:p>
    <w:p w14:paraId="52573DA7" w14:textId="77777777" w:rsidR="00EA684C" w:rsidRDefault="00EA684C">
      <w:pPr>
        <w:pStyle w:val="ConsPlusNormal"/>
        <w:jc w:val="both"/>
      </w:pPr>
    </w:p>
    <w:p w14:paraId="77E518B7" w14:textId="77777777" w:rsidR="00EA684C" w:rsidRDefault="00EA684C">
      <w:pPr>
        <w:pStyle w:val="ConsPlusNormal"/>
        <w:jc w:val="both"/>
      </w:pPr>
    </w:p>
    <w:p w14:paraId="2AF217A6" w14:textId="77777777" w:rsidR="00EA684C" w:rsidRDefault="00EA684C">
      <w:pPr>
        <w:pStyle w:val="ConsPlusNormal"/>
        <w:jc w:val="both"/>
      </w:pPr>
    </w:p>
    <w:p w14:paraId="2481F5D3" w14:textId="77777777" w:rsidR="00EA684C" w:rsidRDefault="00EA684C">
      <w:pPr>
        <w:pStyle w:val="ConsPlusNormal"/>
        <w:jc w:val="both"/>
      </w:pPr>
    </w:p>
    <w:p w14:paraId="28C0742C" w14:textId="77777777" w:rsidR="00EA684C" w:rsidRDefault="00EA684C">
      <w:pPr>
        <w:pStyle w:val="ConsPlusNormal"/>
        <w:jc w:val="right"/>
        <w:outlineLvl w:val="0"/>
      </w:pPr>
      <w:r>
        <w:t>Утвержден</w:t>
      </w:r>
    </w:p>
    <w:p w14:paraId="7A3591A0" w14:textId="77777777" w:rsidR="00EA684C" w:rsidRDefault="00EA684C">
      <w:pPr>
        <w:pStyle w:val="ConsPlusNormal"/>
        <w:jc w:val="right"/>
      </w:pPr>
      <w:r>
        <w:t>приказом</w:t>
      </w:r>
    </w:p>
    <w:p w14:paraId="74209890" w14:textId="77777777" w:rsidR="00EA684C" w:rsidRDefault="00EA684C">
      <w:pPr>
        <w:pStyle w:val="ConsPlusNormal"/>
        <w:jc w:val="right"/>
      </w:pPr>
      <w:r>
        <w:t>комитета</w:t>
      </w:r>
    </w:p>
    <w:p w14:paraId="2189CCD1" w14:textId="77777777" w:rsidR="00EA684C" w:rsidRDefault="00EA684C">
      <w:pPr>
        <w:pStyle w:val="ConsPlusNormal"/>
        <w:jc w:val="right"/>
      </w:pPr>
      <w:r>
        <w:t>государственной охраны</w:t>
      </w:r>
    </w:p>
    <w:p w14:paraId="3E83352F" w14:textId="77777777" w:rsidR="00EA684C" w:rsidRDefault="00EA684C">
      <w:pPr>
        <w:pStyle w:val="ConsPlusNormal"/>
        <w:jc w:val="right"/>
      </w:pPr>
      <w:r>
        <w:t>объектов культурного наследия</w:t>
      </w:r>
    </w:p>
    <w:p w14:paraId="4A9C1BF3" w14:textId="77777777" w:rsidR="00EA684C" w:rsidRDefault="00EA684C">
      <w:pPr>
        <w:pStyle w:val="ConsPlusNormal"/>
        <w:jc w:val="right"/>
      </w:pPr>
      <w:r>
        <w:t>Волгоградской области</w:t>
      </w:r>
    </w:p>
    <w:p w14:paraId="61E904E1" w14:textId="77777777" w:rsidR="00EA684C" w:rsidRDefault="00EA684C">
      <w:pPr>
        <w:pStyle w:val="ConsPlusNormal"/>
        <w:jc w:val="right"/>
      </w:pPr>
      <w:r>
        <w:t>от 11 июля 2024 г. N 252-од</w:t>
      </w:r>
    </w:p>
    <w:p w14:paraId="436D1024" w14:textId="77777777" w:rsidR="00EA684C" w:rsidRDefault="00EA684C">
      <w:pPr>
        <w:pStyle w:val="ConsPlusNormal"/>
        <w:jc w:val="both"/>
      </w:pPr>
    </w:p>
    <w:p w14:paraId="4A111E34" w14:textId="77777777" w:rsidR="00EA684C" w:rsidRDefault="00EA684C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14:paraId="0DC084AA" w14:textId="77777777" w:rsidR="00EA684C" w:rsidRDefault="00EA684C">
      <w:pPr>
        <w:pStyle w:val="ConsPlusTitle"/>
        <w:jc w:val="center"/>
      </w:pPr>
      <w:r>
        <w:t>ЗНАЧЕНИЯ "КУПЕЧЕСКИЙ ОСОБНЯК (КОНТОРСКОЕ ЗДАНИЕ)",</w:t>
      </w:r>
    </w:p>
    <w:p w14:paraId="2DAE2415" w14:textId="77777777" w:rsidR="00EA684C" w:rsidRDefault="00EA684C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0CAB078F" w14:textId="77777777" w:rsidR="00EA684C" w:rsidRDefault="00EA684C">
      <w:pPr>
        <w:pStyle w:val="ConsPlusTitle"/>
        <w:jc w:val="center"/>
      </w:pPr>
      <w:r>
        <w:t>ОБЛАСТЬ, Г. ВОЛГОГРАД, ЦЕНТРАЛЬНЫЙ РАЙОН,</w:t>
      </w:r>
    </w:p>
    <w:p w14:paraId="184DA8D5" w14:textId="77777777" w:rsidR="00EA684C" w:rsidRDefault="00EA684C">
      <w:pPr>
        <w:pStyle w:val="ConsPlusTitle"/>
        <w:jc w:val="center"/>
      </w:pPr>
      <w:r>
        <w:t>УЛ. ПОРТ-САИДА, 9А &lt;1&gt;</w:t>
      </w:r>
    </w:p>
    <w:p w14:paraId="7652A979" w14:textId="77777777" w:rsidR="00EA684C" w:rsidRDefault="00EA684C">
      <w:pPr>
        <w:pStyle w:val="ConsPlusNormal"/>
        <w:jc w:val="both"/>
      </w:pPr>
    </w:p>
    <w:p w14:paraId="5C3C8CB4" w14:textId="77777777" w:rsidR="00EA684C" w:rsidRDefault="00EA684C">
      <w:pPr>
        <w:pStyle w:val="ConsPlusNormal"/>
        <w:ind w:firstLine="540"/>
        <w:jc w:val="both"/>
      </w:pPr>
      <w:r>
        <w:t>--------------------------------</w:t>
      </w:r>
    </w:p>
    <w:p w14:paraId="19EEB813" w14:textId="77777777" w:rsidR="00EA684C" w:rsidRDefault="00EA684C">
      <w:pPr>
        <w:pStyle w:val="ConsPlusNormal"/>
        <w:spacing w:before="22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76186CD8" w14:textId="77777777" w:rsidR="00EA684C" w:rsidRDefault="00EA684C">
      <w:pPr>
        <w:pStyle w:val="ConsPlusNormal"/>
        <w:jc w:val="both"/>
      </w:pPr>
    </w:p>
    <w:p w14:paraId="2214804C" w14:textId="77777777" w:rsidR="00EA684C" w:rsidRDefault="00EA684C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"Купеческий особняк (конторское здание)", расположенного по адресу (местонахождение): Волгоградская область, г. Волгоград, Центральный район, ул. Порт-Саида, 9а, являются:</w:t>
      </w:r>
    </w:p>
    <w:p w14:paraId="078AB7C2" w14:textId="77777777" w:rsidR="00EA684C" w:rsidRDefault="00EA684C">
      <w:pPr>
        <w:pStyle w:val="ConsPlusNormal"/>
        <w:jc w:val="both"/>
      </w:pPr>
    </w:p>
    <w:p w14:paraId="6FB84046" w14:textId="77777777" w:rsidR="00EA684C" w:rsidRDefault="00EA684C">
      <w:pPr>
        <w:pStyle w:val="ConsPlusNormal"/>
        <w:sectPr w:rsidR="00EA684C" w:rsidSect="00EA684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268"/>
        <w:gridCol w:w="3061"/>
        <w:gridCol w:w="3685"/>
      </w:tblGrid>
      <w:tr w:rsidR="00EA684C" w14:paraId="2C2F3CF1" w14:textId="77777777">
        <w:tc>
          <w:tcPr>
            <w:tcW w:w="510" w:type="dxa"/>
          </w:tcPr>
          <w:p w14:paraId="0A86C37B" w14:textId="77777777" w:rsidR="00EA684C" w:rsidRDefault="00EA684C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2268" w:type="dxa"/>
          </w:tcPr>
          <w:p w14:paraId="6F05F782" w14:textId="77777777" w:rsidR="00EA684C" w:rsidRDefault="00EA684C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3061" w:type="dxa"/>
          </w:tcPr>
          <w:p w14:paraId="52F52E69" w14:textId="77777777" w:rsidR="00EA684C" w:rsidRDefault="00EA684C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685" w:type="dxa"/>
          </w:tcPr>
          <w:p w14:paraId="23025979" w14:textId="77777777" w:rsidR="00EA684C" w:rsidRDefault="00EA684C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EA684C" w14:paraId="494C4FA8" w14:textId="77777777">
        <w:tc>
          <w:tcPr>
            <w:tcW w:w="510" w:type="dxa"/>
          </w:tcPr>
          <w:p w14:paraId="2B41B60E" w14:textId="77777777" w:rsidR="00EA684C" w:rsidRDefault="00EA684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268" w:type="dxa"/>
          </w:tcPr>
          <w:p w14:paraId="12F1FC06" w14:textId="77777777" w:rsidR="00EA684C" w:rsidRDefault="00EA684C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3061" w:type="dxa"/>
          </w:tcPr>
          <w:p w14:paraId="685E29D9" w14:textId="77777777" w:rsidR="00EA684C" w:rsidRDefault="00EA684C">
            <w:pPr>
              <w:pStyle w:val="ConsPlusNormal"/>
            </w:pPr>
            <w:r>
              <w:t>здание расположено внутри жилого квартала по ул. Порт-Саида, 9а в Центральном районе г. Волгограда</w:t>
            </w:r>
          </w:p>
        </w:tc>
        <w:tc>
          <w:tcPr>
            <w:tcW w:w="3685" w:type="dxa"/>
          </w:tcPr>
          <w:p w14:paraId="7F786875" w14:textId="77777777" w:rsidR="00EA684C" w:rsidRDefault="00EA684C">
            <w:pPr>
              <w:pStyle w:val="ConsPlusNormal"/>
              <w:jc w:val="center"/>
            </w:pPr>
            <w:r>
              <w:rPr>
                <w:noProof/>
                <w:position w:val="-220"/>
              </w:rPr>
              <w:drawing>
                <wp:inline distT="0" distB="0" distL="0" distR="0" wp14:anchorId="7F96B417" wp14:editId="5387C5C6">
                  <wp:extent cx="2261235" cy="294449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2944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684C" w14:paraId="2559A71F" w14:textId="77777777">
        <w:tc>
          <w:tcPr>
            <w:tcW w:w="510" w:type="dxa"/>
          </w:tcPr>
          <w:p w14:paraId="0F98C351" w14:textId="77777777" w:rsidR="00EA684C" w:rsidRDefault="00EA684C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268" w:type="dxa"/>
          </w:tcPr>
          <w:p w14:paraId="7289A163" w14:textId="77777777" w:rsidR="00EA684C" w:rsidRDefault="00EA684C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3061" w:type="dxa"/>
          </w:tcPr>
          <w:p w14:paraId="25013E30" w14:textId="77777777" w:rsidR="00EA684C" w:rsidRDefault="00EA684C">
            <w:pPr>
              <w:pStyle w:val="ConsPlusNormal"/>
            </w:pPr>
            <w:r>
              <w:t>2-этажное здание с двумя подвалами, имеет оригинальную планировочную структуру с въездной аркой и внутренним двориком</w:t>
            </w:r>
          </w:p>
        </w:tc>
        <w:tc>
          <w:tcPr>
            <w:tcW w:w="3685" w:type="dxa"/>
          </w:tcPr>
          <w:p w14:paraId="3BBB8E94" w14:textId="77777777" w:rsidR="00EA684C" w:rsidRDefault="00EA684C">
            <w:pPr>
              <w:pStyle w:val="ConsPlusNormal"/>
              <w:jc w:val="center"/>
            </w:pPr>
            <w:r>
              <w:rPr>
                <w:noProof/>
                <w:position w:val="-123"/>
              </w:rPr>
              <w:drawing>
                <wp:inline distT="0" distB="0" distL="0" distR="0" wp14:anchorId="1ABB1AAB" wp14:editId="16FACE84">
                  <wp:extent cx="2261235" cy="1704340"/>
                  <wp:effectExtent l="0" t="0" r="0" b="0"/>
                  <wp:docPr id="197600510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704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684C" w14:paraId="2625E29F" w14:textId="77777777">
        <w:tc>
          <w:tcPr>
            <w:tcW w:w="510" w:type="dxa"/>
          </w:tcPr>
          <w:p w14:paraId="7B6D248E" w14:textId="77777777" w:rsidR="00EA684C" w:rsidRDefault="00EA684C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268" w:type="dxa"/>
          </w:tcPr>
          <w:p w14:paraId="252042B0" w14:textId="77777777" w:rsidR="00EA684C" w:rsidRDefault="00EA684C">
            <w:pPr>
              <w:pStyle w:val="ConsPlusNormal"/>
            </w:pPr>
            <w:r>
              <w:t>Крыша</w:t>
            </w:r>
          </w:p>
        </w:tc>
        <w:tc>
          <w:tcPr>
            <w:tcW w:w="3061" w:type="dxa"/>
          </w:tcPr>
          <w:p w14:paraId="61AB3161" w14:textId="77777777" w:rsidR="00EA684C" w:rsidRDefault="00EA684C">
            <w:pPr>
              <w:pStyle w:val="ConsPlusNormal"/>
            </w:pPr>
            <w:r>
              <w:t xml:space="preserve">форма крыши - вальмовая </w:t>
            </w:r>
            <w:proofErr w:type="spellStart"/>
            <w:r>
              <w:t>многоскатная</w:t>
            </w:r>
            <w:proofErr w:type="spellEnd"/>
            <w:r>
              <w:t xml:space="preserve"> со слуховым оконным проемом</w:t>
            </w:r>
          </w:p>
        </w:tc>
        <w:tc>
          <w:tcPr>
            <w:tcW w:w="3685" w:type="dxa"/>
          </w:tcPr>
          <w:p w14:paraId="7F922F1A" w14:textId="77777777" w:rsidR="00EA684C" w:rsidRDefault="00EA684C">
            <w:pPr>
              <w:pStyle w:val="ConsPlusNormal"/>
              <w:jc w:val="center"/>
            </w:pPr>
            <w:r>
              <w:rPr>
                <w:noProof/>
                <w:position w:val="-156"/>
              </w:rPr>
              <w:drawing>
                <wp:inline distT="0" distB="0" distL="0" distR="0" wp14:anchorId="2ED160DE" wp14:editId="317DDFFE">
                  <wp:extent cx="2261235" cy="2124075"/>
                  <wp:effectExtent l="0" t="0" r="0" b="0"/>
                  <wp:docPr id="120336352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2124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684C" w14:paraId="4BDDA7D9" w14:textId="77777777">
        <w:tc>
          <w:tcPr>
            <w:tcW w:w="510" w:type="dxa"/>
          </w:tcPr>
          <w:p w14:paraId="1673B013" w14:textId="77777777" w:rsidR="00EA684C" w:rsidRDefault="00EA684C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268" w:type="dxa"/>
          </w:tcPr>
          <w:p w14:paraId="6F369939" w14:textId="77777777" w:rsidR="00EA684C" w:rsidRDefault="00EA684C">
            <w:pPr>
              <w:pStyle w:val="ConsPlusNormal"/>
            </w:pPr>
            <w:r>
              <w:t>Композиционное и архитектурно-художественное оформление юго-западного фасада здания (с учетом восстановления в 2005 - 2006 гг.)</w:t>
            </w:r>
          </w:p>
        </w:tc>
        <w:tc>
          <w:tcPr>
            <w:tcW w:w="3061" w:type="dxa"/>
          </w:tcPr>
          <w:p w14:paraId="1CA1151F" w14:textId="77777777" w:rsidR="00EA684C" w:rsidRDefault="00EA684C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6AB41203" w14:textId="77777777" w:rsidR="00EA684C" w:rsidRDefault="00EA684C">
            <w:pPr>
              <w:pStyle w:val="ConsPlusNormal"/>
            </w:pPr>
            <w:r>
              <w:t>- цоколь с бровкой сложного профиля;</w:t>
            </w:r>
          </w:p>
          <w:p w14:paraId="1923EF6F" w14:textId="77777777" w:rsidR="00EA684C" w:rsidRDefault="00EA684C">
            <w:pPr>
              <w:pStyle w:val="ConsPlusNormal"/>
            </w:pPr>
            <w:r>
              <w:t xml:space="preserve">- пилястры 1-го этажа здания, парные </w:t>
            </w:r>
            <w:proofErr w:type="spellStart"/>
            <w:r>
              <w:t>полуколонки</w:t>
            </w:r>
            <w:proofErr w:type="spellEnd"/>
            <w:r>
              <w:t xml:space="preserve"> с волютой 2-го этажа здания;</w:t>
            </w:r>
          </w:p>
          <w:p w14:paraId="12A52FD9" w14:textId="77777777" w:rsidR="00EA684C" w:rsidRDefault="00EA684C">
            <w:pPr>
              <w:pStyle w:val="ConsPlusNormal"/>
            </w:pPr>
            <w:r>
              <w:t>- въездная арка с лучковой перемычкой и многоступенчатым архивольтом, декорированным поясками и сухариками (переделана в дверной проем);</w:t>
            </w:r>
          </w:p>
          <w:p w14:paraId="662945FC" w14:textId="77777777" w:rsidR="00EA684C" w:rsidRDefault="00EA684C">
            <w:pPr>
              <w:pStyle w:val="ConsPlusNormal"/>
            </w:pPr>
            <w:r>
              <w:t xml:space="preserve">- декоративный элемент в виде очелья с зубцами и </w:t>
            </w:r>
            <w:r>
              <w:lastRenderedPageBreak/>
              <w:t>боковыми свесами (над въездной аркой);</w:t>
            </w:r>
          </w:p>
          <w:p w14:paraId="586ED08D" w14:textId="77777777" w:rsidR="00EA684C" w:rsidRDefault="00EA684C">
            <w:pPr>
              <w:pStyle w:val="ConsPlusNormal"/>
            </w:pPr>
            <w:r>
              <w:t xml:space="preserve">- наличники прямоугольных дверных проемов 1-го этажа здания (очелья с зубцами, лопатки и </w:t>
            </w:r>
            <w:proofErr w:type="spellStart"/>
            <w:r>
              <w:t>пикообразные</w:t>
            </w:r>
            <w:proofErr w:type="spellEnd"/>
            <w:r>
              <w:t xml:space="preserve"> свесы в нижней части);</w:t>
            </w:r>
          </w:p>
          <w:p w14:paraId="2E43A2AA" w14:textId="77777777" w:rsidR="00EA684C" w:rsidRDefault="00EA684C">
            <w:pPr>
              <w:pStyle w:val="ConsPlusNormal"/>
            </w:pPr>
            <w:r>
              <w:t>- межэтажный карниз;</w:t>
            </w:r>
          </w:p>
          <w:p w14:paraId="73C42DBE" w14:textId="77777777" w:rsidR="00EA684C" w:rsidRDefault="00EA684C">
            <w:pPr>
              <w:pStyle w:val="ConsPlusNormal"/>
            </w:pPr>
            <w:r>
              <w:t>- наличники прямоугольных оконных проемов 2-го этажа здания (прямой сандрик и лопатки);</w:t>
            </w:r>
          </w:p>
          <w:p w14:paraId="481BD7FF" w14:textId="77777777" w:rsidR="00EA684C" w:rsidRDefault="00EA684C">
            <w:pPr>
              <w:pStyle w:val="ConsPlusNormal"/>
            </w:pPr>
            <w:r>
              <w:t>- балкон с металлическим ограждением 2-го этажа здания;</w:t>
            </w:r>
          </w:p>
          <w:p w14:paraId="6F3A22C8" w14:textId="77777777" w:rsidR="00EA684C" w:rsidRDefault="00EA684C">
            <w:pPr>
              <w:pStyle w:val="ConsPlusNormal"/>
            </w:pPr>
            <w:r>
              <w:t>- венчающий карниз (пояс из ступенчатых зубцов, консоли, чередующиеся с прямоугольными нишами, поребрик);</w:t>
            </w:r>
          </w:p>
          <w:p w14:paraId="245547FF" w14:textId="77777777" w:rsidR="00EA684C" w:rsidRDefault="00EA684C">
            <w:pPr>
              <w:pStyle w:val="ConsPlusNormal"/>
            </w:pPr>
            <w:r>
              <w:t>- профилированный аттик с арочным слуховым оконным проемом, боковыми тумбами, парными лопатками и сухариками</w:t>
            </w:r>
          </w:p>
        </w:tc>
        <w:tc>
          <w:tcPr>
            <w:tcW w:w="3685" w:type="dxa"/>
          </w:tcPr>
          <w:p w14:paraId="76B7C67E" w14:textId="77777777" w:rsidR="00EA684C" w:rsidRDefault="00EA684C">
            <w:pPr>
              <w:pStyle w:val="ConsPlusNormal"/>
              <w:jc w:val="center"/>
            </w:pPr>
            <w:r>
              <w:rPr>
                <w:noProof/>
                <w:position w:val="-122"/>
              </w:rPr>
              <w:lastRenderedPageBreak/>
              <w:drawing>
                <wp:inline distT="0" distB="0" distL="0" distR="0" wp14:anchorId="4506E7B8" wp14:editId="34F44C85">
                  <wp:extent cx="2261235" cy="1696085"/>
                  <wp:effectExtent l="0" t="0" r="0" b="0"/>
                  <wp:docPr id="188048777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696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46CD35" w14:textId="77777777" w:rsidR="00EA684C" w:rsidRDefault="00EA684C">
            <w:pPr>
              <w:pStyle w:val="ConsPlusNormal"/>
            </w:pPr>
          </w:p>
          <w:p w14:paraId="4E3B206D" w14:textId="77777777" w:rsidR="00EA684C" w:rsidRDefault="00EA684C">
            <w:pPr>
              <w:pStyle w:val="ConsPlusNormal"/>
              <w:jc w:val="center"/>
            </w:pPr>
            <w:r>
              <w:rPr>
                <w:noProof/>
                <w:position w:val="-123"/>
              </w:rPr>
              <w:lastRenderedPageBreak/>
              <w:drawing>
                <wp:inline distT="0" distB="0" distL="0" distR="0" wp14:anchorId="1B285985" wp14:editId="75FEF690">
                  <wp:extent cx="2261235" cy="1704340"/>
                  <wp:effectExtent l="0" t="0" r="0" b="0"/>
                  <wp:docPr id="180574772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704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57DBF4" w14:textId="77777777" w:rsidR="00EA684C" w:rsidRDefault="00EA684C">
            <w:pPr>
              <w:pStyle w:val="ConsPlusNormal"/>
            </w:pPr>
          </w:p>
          <w:p w14:paraId="3E9DEEC4" w14:textId="77777777" w:rsidR="00EA684C" w:rsidRDefault="00EA684C">
            <w:pPr>
              <w:pStyle w:val="ConsPlusNormal"/>
              <w:jc w:val="center"/>
            </w:pPr>
            <w:r>
              <w:rPr>
                <w:noProof/>
                <w:position w:val="-122"/>
              </w:rPr>
              <w:drawing>
                <wp:inline distT="0" distB="0" distL="0" distR="0" wp14:anchorId="5145FBCE" wp14:editId="04D9F3AB">
                  <wp:extent cx="2261235" cy="1696085"/>
                  <wp:effectExtent l="0" t="0" r="0" b="0"/>
                  <wp:docPr id="127767848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696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684C" w14:paraId="1EC315B1" w14:textId="77777777">
        <w:tc>
          <w:tcPr>
            <w:tcW w:w="510" w:type="dxa"/>
          </w:tcPr>
          <w:p w14:paraId="117D1716" w14:textId="77777777" w:rsidR="00EA684C" w:rsidRDefault="00EA684C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268" w:type="dxa"/>
          </w:tcPr>
          <w:p w14:paraId="06EB6603" w14:textId="77777777" w:rsidR="00EA684C" w:rsidRDefault="00EA684C">
            <w:pPr>
              <w:pStyle w:val="ConsPlusNormal"/>
            </w:pPr>
            <w:r>
              <w:t>Композиционное и архитектурно-художественное оформление северо-западного фасада здания (с учетом восстановления в 2005 - 2006 гг.)</w:t>
            </w:r>
          </w:p>
        </w:tc>
        <w:tc>
          <w:tcPr>
            <w:tcW w:w="3061" w:type="dxa"/>
          </w:tcPr>
          <w:p w14:paraId="0FB52B5A" w14:textId="77777777" w:rsidR="00EA684C" w:rsidRDefault="00EA684C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344CE041" w14:textId="77777777" w:rsidR="00EA684C" w:rsidRDefault="00EA684C">
            <w:pPr>
              <w:pStyle w:val="ConsPlusNormal"/>
            </w:pPr>
            <w:r>
              <w:t>- лучковые перемычки оконных проемов 2-го этажа здания;</w:t>
            </w:r>
          </w:p>
          <w:p w14:paraId="0443FF2D" w14:textId="77777777" w:rsidR="00EA684C" w:rsidRDefault="00EA684C">
            <w:pPr>
              <w:pStyle w:val="ConsPlusNormal"/>
            </w:pPr>
            <w:r>
              <w:t>- венчающий карниз (пояс ступенчатых зубцов, консоли, чередующиеся с прямоугольными нишами, поребрик)</w:t>
            </w:r>
          </w:p>
        </w:tc>
        <w:tc>
          <w:tcPr>
            <w:tcW w:w="3685" w:type="dxa"/>
          </w:tcPr>
          <w:p w14:paraId="3FA1017E" w14:textId="77777777" w:rsidR="00EA684C" w:rsidRDefault="00EA684C">
            <w:pPr>
              <w:pStyle w:val="ConsPlusNormal"/>
              <w:jc w:val="center"/>
            </w:pPr>
            <w:r>
              <w:rPr>
                <w:noProof/>
                <w:position w:val="-124"/>
              </w:rPr>
              <w:drawing>
                <wp:inline distT="0" distB="0" distL="0" distR="0" wp14:anchorId="386594D4" wp14:editId="2C0B5B37">
                  <wp:extent cx="2261235" cy="1721485"/>
                  <wp:effectExtent l="0" t="0" r="0" b="0"/>
                  <wp:docPr id="29464801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721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684C" w14:paraId="2E2ED901" w14:textId="77777777">
        <w:tc>
          <w:tcPr>
            <w:tcW w:w="510" w:type="dxa"/>
          </w:tcPr>
          <w:p w14:paraId="3D23F5C0" w14:textId="77777777" w:rsidR="00EA684C" w:rsidRDefault="00EA684C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268" w:type="dxa"/>
          </w:tcPr>
          <w:p w14:paraId="2797A769" w14:textId="77777777" w:rsidR="00EA684C" w:rsidRDefault="00EA684C">
            <w:pPr>
              <w:pStyle w:val="ConsPlusNormal"/>
            </w:pPr>
            <w:r>
              <w:t>Композиционное и архитектурно-художественное оформление юго-восточного фасада здания (с учетом восстановления в 2005 - 2006 гг.)</w:t>
            </w:r>
          </w:p>
        </w:tc>
        <w:tc>
          <w:tcPr>
            <w:tcW w:w="3061" w:type="dxa"/>
          </w:tcPr>
          <w:p w14:paraId="7FFE26C1" w14:textId="77777777" w:rsidR="00EA684C" w:rsidRDefault="00EA684C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- межэтажный ступенчатый карниз (на левом фланге фасада)</w:t>
            </w:r>
          </w:p>
        </w:tc>
        <w:tc>
          <w:tcPr>
            <w:tcW w:w="3685" w:type="dxa"/>
          </w:tcPr>
          <w:p w14:paraId="5421C27B" w14:textId="77777777" w:rsidR="00EA684C" w:rsidRDefault="00EA684C">
            <w:pPr>
              <w:pStyle w:val="ConsPlusNormal"/>
              <w:jc w:val="center"/>
            </w:pPr>
            <w:r>
              <w:rPr>
                <w:noProof/>
                <w:position w:val="-122"/>
              </w:rPr>
              <w:drawing>
                <wp:inline distT="0" distB="0" distL="0" distR="0" wp14:anchorId="4AB70A6C" wp14:editId="6B17A8F9">
                  <wp:extent cx="2261235" cy="1696085"/>
                  <wp:effectExtent l="0" t="0" r="0" b="0"/>
                  <wp:docPr id="130818390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696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684C" w14:paraId="3FB67334" w14:textId="77777777">
        <w:tc>
          <w:tcPr>
            <w:tcW w:w="510" w:type="dxa"/>
          </w:tcPr>
          <w:p w14:paraId="5647B98D" w14:textId="77777777" w:rsidR="00EA684C" w:rsidRDefault="00EA684C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2268" w:type="dxa"/>
          </w:tcPr>
          <w:p w14:paraId="18A64D49" w14:textId="77777777" w:rsidR="00EA684C" w:rsidRDefault="00EA684C">
            <w:pPr>
              <w:pStyle w:val="ConsPlusNormal"/>
            </w:pPr>
            <w:r>
              <w:t>Композиционное и архитектурно-художественное оформление северо-восточного, юго-восточного и юго-западного фасадов внутреннего дворика (с учетом восстановления в 2005 - 2006 гг.)</w:t>
            </w:r>
          </w:p>
        </w:tc>
        <w:tc>
          <w:tcPr>
            <w:tcW w:w="3061" w:type="dxa"/>
          </w:tcPr>
          <w:p w14:paraId="3EEFB50C" w14:textId="77777777" w:rsidR="00EA684C" w:rsidRDefault="00EA684C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14:paraId="0D016ACC" w14:textId="77777777" w:rsidR="00EA684C" w:rsidRDefault="00EA684C">
            <w:pPr>
              <w:pStyle w:val="ConsPlusNormal"/>
            </w:pPr>
            <w:r>
              <w:t xml:space="preserve">- </w:t>
            </w:r>
            <w:proofErr w:type="spellStart"/>
            <w:r>
              <w:t>псевдотрехцентровые</w:t>
            </w:r>
            <w:proofErr w:type="spellEnd"/>
            <w:r>
              <w:t xml:space="preserve"> перемычки оконных проемов 2-го этажа здания;</w:t>
            </w:r>
          </w:p>
          <w:p w14:paraId="0A6ADAFF" w14:textId="77777777" w:rsidR="00EA684C" w:rsidRDefault="00EA684C">
            <w:pPr>
              <w:pStyle w:val="ConsPlusNormal"/>
            </w:pPr>
            <w:r>
              <w:t>- фигурный пояс, повторяющий очертания перемычек оконных проемов 2-го этажа здания;</w:t>
            </w:r>
          </w:p>
          <w:p w14:paraId="406015AB" w14:textId="77777777" w:rsidR="00EA684C" w:rsidRDefault="00EA684C">
            <w:pPr>
              <w:pStyle w:val="ConsPlusNormal"/>
            </w:pPr>
            <w:r>
              <w:t>- подоконный карниз 2-го этажа здания;</w:t>
            </w:r>
          </w:p>
          <w:p w14:paraId="412C2154" w14:textId="77777777" w:rsidR="00EA684C" w:rsidRDefault="00EA684C">
            <w:pPr>
              <w:pStyle w:val="ConsPlusNormal"/>
            </w:pPr>
            <w:r>
              <w:t>- межэтажный карниз с сухариками;</w:t>
            </w:r>
          </w:p>
          <w:p w14:paraId="5507760C" w14:textId="77777777" w:rsidR="00EA684C" w:rsidRDefault="00EA684C">
            <w:pPr>
              <w:pStyle w:val="ConsPlusNormal"/>
            </w:pPr>
            <w:r>
              <w:t xml:space="preserve">- ряд </w:t>
            </w:r>
            <w:proofErr w:type="spellStart"/>
            <w:r>
              <w:t>консолек</w:t>
            </w:r>
            <w:proofErr w:type="spellEnd"/>
            <w:r>
              <w:t xml:space="preserve"> 1-го этажа здания (на левом фланге юго-восточного фасада);</w:t>
            </w:r>
          </w:p>
          <w:p w14:paraId="1A487EBB" w14:textId="77777777" w:rsidR="00EA684C" w:rsidRDefault="00EA684C">
            <w:pPr>
              <w:pStyle w:val="ConsPlusNormal"/>
            </w:pPr>
            <w:r>
              <w:t>- ниша с лучковой перемычкой 1-го этажа здания (на правом фланге юго-восточного фасада);</w:t>
            </w:r>
          </w:p>
          <w:p w14:paraId="6A3293A3" w14:textId="77777777" w:rsidR="00EA684C" w:rsidRDefault="00EA684C">
            <w:pPr>
              <w:pStyle w:val="ConsPlusNormal"/>
            </w:pPr>
            <w:r>
              <w:t>- клинчатые перемычки прямоугольных оконных проемов 1-го этажа здания (на юго-западном фасаде)</w:t>
            </w:r>
          </w:p>
        </w:tc>
        <w:tc>
          <w:tcPr>
            <w:tcW w:w="3685" w:type="dxa"/>
          </w:tcPr>
          <w:p w14:paraId="3156CDE6" w14:textId="77777777" w:rsidR="00EA684C" w:rsidRDefault="00EA684C">
            <w:pPr>
              <w:pStyle w:val="ConsPlusNormal"/>
              <w:jc w:val="center"/>
            </w:pPr>
            <w:r>
              <w:rPr>
                <w:noProof/>
                <w:position w:val="-122"/>
              </w:rPr>
              <w:drawing>
                <wp:inline distT="0" distB="0" distL="0" distR="0" wp14:anchorId="05BA4D33" wp14:editId="57305101">
                  <wp:extent cx="2261235" cy="1696085"/>
                  <wp:effectExtent l="0" t="0" r="0" b="0"/>
                  <wp:docPr id="56733811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696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25C9CB" w14:textId="77777777" w:rsidR="00EA684C" w:rsidRDefault="00EA684C">
            <w:pPr>
              <w:pStyle w:val="ConsPlusNormal"/>
            </w:pPr>
          </w:p>
          <w:p w14:paraId="46BB5766" w14:textId="77777777" w:rsidR="00EA684C" w:rsidRDefault="00EA684C">
            <w:pPr>
              <w:pStyle w:val="ConsPlusNormal"/>
              <w:jc w:val="center"/>
            </w:pPr>
            <w:r>
              <w:rPr>
                <w:noProof/>
                <w:position w:val="-122"/>
              </w:rPr>
              <w:drawing>
                <wp:inline distT="0" distB="0" distL="0" distR="0" wp14:anchorId="73A06508" wp14:editId="6B50E3A8">
                  <wp:extent cx="2261235" cy="1696085"/>
                  <wp:effectExtent l="0" t="0" r="0" b="0"/>
                  <wp:docPr id="71556401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696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14B80D" w14:textId="77777777" w:rsidR="00EA684C" w:rsidRDefault="00EA684C">
            <w:pPr>
              <w:pStyle w:val="ConsPlusNormal"/>
            </w:pPr>
          </w:p>
          <w:p w14:paraId="61E595F3" w14:textId="77777777" w:rsidR="00EA684C" w:rsidRDefault="00EA684C">
            <w:pPr>
              <w:pStyle w:val="ConsPlusNormal"/>
              <w:jc w:val="center"/>
            </w:pPr>
            <w:r>
              <w:rPr>
                <w:noProof/>
                <w:position w:val="-122"/>
              </w:rPr>
              <w:drawing>
                <wp:inline distT="0" distB="0" distL="0" distR="0" wp14:anchorId="193A98B3" wp14:editId="7800B775">
                  <wp:extent cx="2261235" cy="1696085"/>
                  <wp:effectExtent l="0" t="0" r="0" b="0"/>
                  <wp:docPr id="40889503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696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684C" w14:paraId="4D998255" w14:textId="77777777">
        <w:tc>
          <w:tcPr>
            <w:tcW w:w="510" w:type="dxa"/>
          </w:tcPr>
          <w:p w14:paraId="556E6942" w14:textId="77777777" w:rsidR="00EA684C" w:rsidRDefault="00EA684C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268" w:type="dxa"/>
          </w:tcPr>
          <w:p w14:paraId="07C8DAE0" w14:textId="77777777" w:rsidR="00EA684C" w:rsidRDefault="00EA684C">
            <w:pPr>
              <w:pStyle w:val="ConsPlusNormal"/>
            </w:pPr>
            <w:r>
              <w:t xml:space="preserve">Конструктивные </w:t>
            </w:r>
            <w:r>
              <w:lastRenderedPageBreak/>
              <w:t>элементы зданий</w:t>
            </w:r>
          </w:p>
        </w:tc>
        <w:tc>
          <w:tcPr>
            <w:tcW w:w="3061" w:type="dxa"/>
          </w:tcPr>
          <w:p w14:paraId="3F818B4E" w14:textId="77777777" w:rsidR="00EA684C" w:rsidRDefault="00EA684C">
            <w:pPr>
              <w:pStyle w:val="ConsPlusNormal"/>
            </w:pPr>
            <w:r>
              <w:lastRenderedPageBreak/>
              <w:t>фундаменты - бутобетонные;</w:t>
            </w:r>
          </w:p>
          <w:p w14:paraId="67CA178F" w14:textId="77777777" w:rsidR="00EA684C" w:rsidRDefault="00EA684C">
            <w:pPr>
              <w:pStyle w:val="ConsPlusNormal"/>
            </w:pPr>
            <w:r>
              <w:lastRenderedPageBreak/>
              <w:t>стены подвала - керамический кирпич;</w:t>
            </w:r>
          </w:p>
          <w:p w14:paraId="4EF6BC30" w14:textId="77777777" w:rsidR="00EA684C" w:rsidRDefault="00EA684C">
            <w:pPr>
              <w:pStyle w:val="ConsPlusNormal"/>
            </w:pPr>
            <w:r>
              <w:t>несущие стены - керамический кирпич;</w:t>
            </w:r>
          </w:p>
          <w:p w14:paraId="6A9E6536" w14:textId="77777777" w:rsidR="00EA684C" w:rsidRDefault="00EA684C">
            <w:pPr>
              <w:pStyle w:val="ConsPlusNormal"/>
            </w:pPr>
            <w:r>
              <w:t>перекрытия подвала</w:t>
            </w:r>
          </w:p>
          <w:p w14:paraId="599DB869" w14:textId="77777777" w:rsidR="00EA684C" w:rsidRDefault="00EA684C">
            <w:pPr>
              <w:pStyle w:val="ConsPlusNormal"/>
            </w:pPr>
            <w:r>
              <w:t>и проезда въездной арки - кирпичные своды Монье по стальным балкам;</w:t>
            </w:r>
          </w:p>
          <w:p w14:paraId="12B86E49" w14:textId="77777777" w:rsidR="00EA684C" w:rsidRDefault="00EA684C">
            <w:pPr>
              <w:pStyle w:val="ConsPlusNormal"/>
            </w:pPr>
            <w:r>
              <w:t xml:space="preserve">лестница с 1-го на 2-й этаж здания - сборные железобетонные ступени по стальным </w:t>
            </w:r>
            <w:proofErr w:type="spellStart"/>
            <w:r>
              <w:t>косоурам</w:t>
            </w:r>
            <w:proofErr w:type="spellEnd"/>
            <w:r>
              <w:t>;</w:t>
            </w:r>
          </w:p>
          <w:p w14:paraId="486BADB4" w14:textId="77777777" w:rsidR="00EA684C" w:rsidRDefault="00EA684C">
            <w:pPr>
              <w:pStyle w:val="ConsPlusNormal"/>
            </w:pPr>
            <w:r>
              <w:t>кирпичный квадратный столб внутреннего дворика</w:t>
            </w:r>
          </w:p>
        </w:tc>
        <w:tc>
          <w:tcPr>
            <w:tcW w:w="3685" w:type="dxa"/>
          </w:tcPr>
          <w:p w14:paraId="65F39B4B" w14:textId="77777777" w:rsidR="00EA684C" w:rsidRDefault="00EA684C">
            <w:pPr>
              <w:pStyle w:val="ConsPlusNormal"/>
            </w:pPr>
          </w:p>
        </w:tc>
      </w:tr>
      <w:tr w:rsidR="00EA684C" w14:paraId="72E43E1A" w14:textId="77777777">
        <w:tc>
          <w:tcPr>
            <w:tcW w:w="510" w:type="dxa"/>
          </w:tcPr>
          <w:p w14:paraId="1529DAE9" w14:textId="77777777" w:rsidR="00EA684C" w:rsidRDefault="00EA684C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268" w:type="dxa"/>
          </w:tcPr>
          <w:p w14:paraId="01BFE2EE" w14:textId="77777777" w:rsidR="00EA684C" w:rsidRDefault="00EA684C">
            <w:pPr>
              <w:pStyle w:val="ConsPlusNormal"/>
            </w:pPr>
            <w:r>
              <w:t>Материал и характер обработки фасадов</w:t>
            </w:r>
          </w:p>
        </w:tc>
        <w:tc>
          <w:tcPr>
            <w:tcW w:w="3061" w:type="dxa"/>
          </w:tcPr>
          <w:p w14:paraId="39718679" w14:textId="77777777" w:rsidR="00EA684C" w:rsidRDefault="00EA684C">
            <w:pPr>
              <w:pStyle w:val="ConsPlusNormal"/>
            </w:pPr>
            <w:r>
              <w:t>кирпичная кладка стен с последующей окраской</w:t>
            </w:r>
          </w:p>
        </w:tc>
        <w:tc>
          <w:tcPr>
            <w:tcW w:w="3685" w:type="dxa"/>
          </w:tcPr>
          <w:p w14:paraId="5340AAC6" w14:textId="77777777" w:rsidR="00EA684C" w:rsidRDefault="00EA684C">
            <w:pPr>
              <w:pStyle w:val="ConsPlusNormal"/>
            </w:pPr>
          </w:p>
        </w:tc>
      </w:tr>
      <w:tr w:rsidR="00EA684C" w14:paraId="3411ABA8" w14:textId="77777777">
        <w:tc>
          <w:tcPr>
            <w:tcW w:w="510" w:type="dxa"/>
            <w:vMerge w:val="restart"/>
          </w:tcPr>
          <w:p w14:paraId="392F52EC" w14:textId="77777777" w:rsidR="00EA684C" w:rsidRDefault="00EA684C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268" w:type="dxa"/>
            <w:vMerge w:val="restart"/>
          </w:tcPr>
          <w:p w14:paraId="678CFBBA" w14:textId="77777777" w:rsidR="00EA684C" w:rsidRDefault="00EA684C">
            <w:pPr>
              <w:pStyle w:val="ConsPlusNormal"/>
            </w:pPr>
            <w:r>
              <w:t>Архитектурно-художественное оформление интерьеров (с учетом восстановления в 2005 - 2006 гг.)</w:t>
            </w:r>
          </w:p>
        </w:tc>
        <w:tc>
          <w:tcPr>
            <w:tcW w:w="3061" w:type="dxa"/>
            <w:tcBorders>
              <w:bottom w:val="nil"/>
            </w:tcBorders>
          </w:tcPr>
          <w:p w14:paraId="26A2002A" w14:textId="77777777" w:rsidR="00EA684C" w:rsidRDefault="00EA684C">
            <w:pPr>
              <w:pStyle w:val="ConsPlusNormal"/>
            </w:pPr>
          </w:p>
        </w:tc>
        <w:tc>
          <w:tcPr>
            <w:tcW w:w="3685" w:type="dxa"/>
            <w:tcBorders>
              <w:bottom w:val="nil"/>
            </w:tcBorders>
          </w:tcPr>
          <w:p w14:paraId="2FED0CD2" w14:textId="77777777" w:rsidR="00EA684C" w:rsidRDefault="00EA684C">
            <w:pPr>
              <w:pStyle w:val="ConsPlusNormal"/>
              <w:jc w:val="center"/>
            </w:pPr>
            <w:r>
              <w:rPr>
                <w:noProof/>
                <w:position w:val="-187"/>
              </w:rPr>
              <w:drawing>
                <wp:inline distT="0" distB="0" distL="0" distR="0" wp14:anchorId="4E8AF8B1" wp14:editId="44737B70">
                  <wp:extent cx="2261235" cy="2522855"/>
                  <wp:effectExtent l="0" t="0" r="0" b="0"/>
                  <wp:docPr id="66999183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2522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684C" w14:paraId="73D9C5A4" w14:textId="77777777">
        <w:tblPrEx>
          <w:tblBorders>
            <w:insideH w:val="nil"/>
          </w:tblBorders>
        </w:tblPrEx>
        <w:tc>
          <w:tcPr>
            <w:tcW w:w="510" w:type="dxa"/>
            <w:vMerge/>
          </w:tcPr>
          <w:p w14:paraId="24F31DEE" w14:textId="77777777" w:rsidR="00EA684C" w:rsidRDefault="00EA684C">
            <w:pPr>
              <w:pStyle w:val="ConsPlusNormal"/>
            </w:pPr>
          </w:p>
        </w:tc>
        <w:tc>
          <w:tcPr>
            <w:tcW w:w="2268" w:type="dxa"/>
            <w:vMerge/>
          </w:tcPr>
          <w:p w14:paraId="1DCFFB65" w14:textId="77777777" w:rsidR="00EA684C" w:rsidRDefault="00EA684C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bottom w:val="nil"/>
            </w:tcBorders>
          </w:tcPr>
          <w:p w14:paraId="4EEC138E" w14:textId="77777777" w:rsidR="00EA684C" w:rsidRDefault="00EA684C">
            <w:pPr>
              <w:pStyle w:val="ConsPlusNormal"/>
            </w:pPr>
            <w:r>
              <w:t>своды Монье подвальных помещений;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51B6FB76" w14:textId="77777777" w:rsidR="00EA684C" w:rsidRDefault="00EA684C">
            <w:pPr>
              <w:pStyle w:val="ConsPlusNormal"/>
              <w:jc w:val="center"/>
            </w:pPr>
            <w:r>
              <w:rPr>
                <w:noProof/>
                <w:position w:val="-123"/>
              </w:rPr>
              <w:drawing>
                <wp:inline distT="0" distB="0" distL="0" distR="0" wp14:anchorId="1D534910" wp14:editId="1F26A855">
                  <wp:extent cx="2261235" cy="1704340"/>
                  <wp:effectExtent l="0" t="0" r="0" b="0"/>
                  <wp:docPr id="52862600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704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684C" w14:paraId="6D26903E" w14:textId="77777777">
        <w:tblPrEx>
          <w:tblBorders>
            <w:insideH w:val="nil"/>
          </w:tblBorders>
        </w:tblPrEx>
        <w:tc>
          <w:tcPr>
            <w:tcW w:w="510" w:type="dxa"/>
            <w:vMerge/>
          </w:tcPr>
          <w:p w14:paraId="04801460" w14:textId="77777777" w:rsidR="00EA684C" w:rsidRDefault="00EA684C">
            <w:pPr>
              <w:pStyle w:val="ConsPlusNormal"/>
            </w:pPr>
          </w:p>
        </w:tc>
        <w:tc>
          <w:tcPr>
            <w:tcW w:w="2268" w:type="dxa"/>
            <w:vMerge/>
          </w:tcPr>
          <w:p w14:paraId="409A5AA7" w14:textId="77777777" w:rsidR="00EA684C" w:rsidRDefault="00EA684C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bottom w:val="nil"/>
            </w:tcBorders>
          </w:tcPr>
          <w:p w14:paraId="7C947FD9" w14:textId="77777777" w:rsidR="00EA684C" w:rsidRDefault="00EA684C">
            <w:pPr>
              <w:pStyle w:val="ConsPlusNormal"/>
            </w:pPr>
            <w:r>
              <w:t>дверной проем с лучковой перемычкой подвального помещения;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67F99719" w14:textId="77777777" w:rsidR="00EA684C" w:rsidRDefault="00EA684C">
            <w:pPr>
              <w:pStyle w:val="ConsPlusNormal"/>
              <w:jc w:val="center"/>
            </w:pPr>
            <w:r>
              <w:rPr>
                <w:noProof/>
                <w:position w:val="-226"/>
              </w:rPr>
              <w:drawing>
                <wp:inline distT="0" distB="0" distL="0" distR="0" wp14:anchorId="29147D3A" wp14:editId="1214E454">
                  <wp:extent cx="2261235" cy="3016885"/>
                  <wp:effectExtent l="0" t="0" r="0" b="0"/>
                  <wp:docPr id="76457585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3016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684C" w14:paraId="263083DA" w14:textId="77777777">
        <w:tblPrEx>
          <w:tblBorders>
            <w:insideH w:val="nil"/>
          </w:tblBorders>
        </w:tblPrEx>
        <w:tc>
          <w:tcPr>
            <w:tcW w:w="510" w:type="dxa"/>
            <w:vMerge/>
          </w:tcPr>
          <w:p w14:paraId="7B788585" w14:textId="77777777" w:rsidR="00EA684C" w:rsidRDefault="00EA684C">
            <w:pPr>
              <w:pStyle w:val="ConsPlusNormal"/>
            </w:pPr>
          </w:p>
        </w:tc>
        <w:tc>
          <w:tcPr>
            <w:tcW w:w="2268" w:type="dxa"/>
            <w:vMerge/>
          </w:tcPr>
          <w:p w14:paraId="59A727D7" w14:textId="77777777" w:rsidR="00EA684C" w:rsidRDefault="00EA684C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bottom w:val="nil"/>
            </w:tcBorders>
          </w:tcPr>
          <w:p w14:paraId="7CB04BED" w14:textId="77777777" w:rsidR="00EA684C" w:rsidRDefault="00EA684C">
            <w:pPr>
              <w:pStyle w:val="ConsPlusNormal"/>
            </w:pPr>
            <w:r>
              <w:t>ниши в стенах подвальных помещений;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125DC7B9" w14:textId="77777777" w:rsidR="00EA684C" w:rsidRDefault="00EA684C">
            <w:pPr>
              <w:pStyle w:val="ConsPlusNormal"/>
              <w:jc w:val="center"/>
            </w:pPr>
            <w:r>
              <w:rPr>
                <w:noProof/>
                <w:position w:val="-226"/>
              </w:rPr>
              <w:drawing>
                <wp:inline distT="0" distB="0" distL="0" distR="0" wp14:anchorId="46881E37" wp14:editId="6EFC0A8E">
                  <wp:extent cx="2261235" cy="3016885"/>
                  <wp:effectExtent l="0" t="0" r="0" b="0"/>
                  <wp:docPr id="193716513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3016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C3CB2A" w14:textId="77777777" w:rsidR="00EA684C" w:rsidRDefault="00EA684C">
            <w:pPr>
              <w:pStyle w:val="ConsPlusNormal"/>
            </w:pPr>
          </w:p>
          <w:p w14:paraId="1C55E4A0" w14:textId="77777777" w:rsidR="00EA684C" w:rsidRDefault="00EA684C">
            <w:pPr>
              <w:pStyle w:val="ConsPlusNormal"/>
              <w:jc w:val="center"/>
            </w:pPr>
            <w:r>
              <w:rPr>
                <w:noProof/>
                <w:position w:val="-166"/>
              </w:rPr>
              <w:drawing>
                <wp:inline distT="0" distB="0" distL="0" distR="0" wp14:anchorId="562DDCF9" wp14:editId="3883322C">
                  <wp:extent cx="2261235" cy="2254885"/>
                  <wp:effectExtent l="0" t="0" r="0" b="0"/>
                  <wp:docPr id="107476279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2254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684C" w14:paraId="0418DFC6" w14:textId="77777777">
        <w:tblPrEx>
          <w:tblBorders>
            <w:insideH w:val="nil"/>
          </w:tblBorders>
        </w:tblPrEx>
        <w:tc>
          <w:tcPr>
            <w:tcW w:w="510" w:type="dxa"/>
            <w:vMerge/>
          </w:tcPr>
          <w:p w14:paraId="2E3EFEBD" w14:textId="77777777" w:rsidR="00EA684C" w:rsidRDefault="00EA684C">
            <w:pPr>
              <w:pStyle w:val="ConsPlusNormal"/>
            </w:pPr>
          </w:p>
        </w:tc>
        <w:tc>
          <w:tcPr>
            <w:tcW w:w="2268" w:type="dxa"/>
            <w:vMerge/>
          </w:tcPr>
          <w:p w14:paraId="41BF6982" w14:textId="77777777" w:rsidR="00EA684C" w:rsidRDefault="00EA684C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bottom w:val="nil"/>
            </w:tcBorders>
          </w:tcPr>
          <w:p w14:paraId="673F79B0" w14:textId="77777777" w:rsidR="00EA684C" w:rsidRDefault="00EA684C">
            <w:pPr>
              <w:pStyle w:val="ConsPlusNormal"/>
            </w:pPr>
            <w:r>
              <w:t>своды Монье проезда въездной арки 1-го этажа здания;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092C507F" w14:textId="77777777" w:rsidR="00EA684C" w:rsidRDefault="00EA684C">
            <w:pPr>
              <w:pStyle w:val="ConsPlusNormal"/>
              <w:jc w:val="center"/>
            </w:pPr>
            <w:r>
              <w:rPr>
                <w:noProof/>
                <w:position w:val="-225"/>
              </w:rPr>
              <w:drawing>
                <wp:inline distT="0" distB="0" distL="0" distR="0" wp14:anchorId="1C28832D" wp14:editId="593D09DF">
                  <wp:extent cx="2261235" cy="3006725"/>
                  <wp:effectExtent l="0" t="0" r="0" b="0"/>
                  <wp:docPr id="115434083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300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684C" w14:paraId="33020F30" w14:textId="77777777">
        <w:tblPrEx>
          <w:tblBorders>
            <w:insideH w:val="nil"/>
          </w:tblBorders>
        </w:tblPrEx>
        <w:tc>
          <w:tcPr>
            <w:tcW w:w="510" w:type="dxa"/>
            <w:vMerge/>
          </w:tcPr>
          <w:p w14:paraId="494D54EB" w14:textId="77777777" w:rsidR="00EA684C" w:rsidRDefault="00EA684C">
            <w:pPr>
              <w:pStyle w:val="ConsPlusNormal"/>
            </w:pPr>
          </w:p>
        </w:tc>
        <w:tc>
          <w:tcPr>
            <w:tcW w:w="2268" w:type="dxa"/>
            <w:vMerge/>
          </w:tcPr>
          <w:p w14:paraId="36BF98BC" w14:textId="77777777" w:rsidR="00EA684C" w:rsidRDefault="00EA684C">
            <w:pPr>
              <w:pStyle w:val="ConsPlusNormal"/>
            </w:pPr>
          </w:p>
        </w:tc>
        <w:tc>
          <w:tcPr>
            <w:tcW w:w="3061" w:type="dxa"/>
            <w:tcBorders>
              <w:top w:val="nil"/>
            </w:tcBorders>
          </w:tcPr>
          <w:p w14:paraId="6F532435" w14:textId="77777777" w:rsidR="00EA684C" w:rsidRDefault="00EA684C">
            <w:pPr>
              <w:pStyle w:val="ConsPlusNormal"/>
            </w:pPr>
            <w:r>
              <w:t>лестница с металлическим ограждением</w:t>
            </w:r>
          </w:p>
        </w:tc>
        <w:tc>
          <w:tcPr>
            <w:tcW w:w="3685" w:type="dxa"/>
            <w:tcBorders>
              <w:top w:val="nil"/>
            </w:tcBorders>
          </w:tcPr>
          <w:p w14:paraId="63A10322" w14:textId="77777777" w:rsidR="00EA684C" w:rsidRDefault="00EA684C">
            <w:pPr>
              <w:pStyle w:val="ConsPlusNormal"/>
              <w:jc w:val="center"/>
            </w:pPr>
            <w:r>
              <w:rPr>
                <w:noProof/>
                <w:position w:val="-122"/>
              </w:rPr>
              <w:drawing>
                <wp:inline distT="0" distB="0" distL="0" distR="0" wp14:anchorId="15B09684" wp14:editId="328B0C03">
                  <wp:extent cx="2261235" cy="1696085"/>
                  <wp:effectExtent l="0" t="0" r="0" b="0"/>
                  <wp:docPr id="77066150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696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0D6420" w14:textId="77777777" w:rsidR="00EA684C" w:rsidRDefault="00EA684C">
      <w:pPr>
        <w:pStyle w:val="ConsPlusNormal"/>
        <w:jc w:val="both"/>
      </w:pPr>
    </w:p>
    <w:p w14:paraId="29C7089A" w14:textId="77777777" w:rsidR="00EA684C" w:rsidRDefault="00EA684C">
      <w:pPr>
        <w:pStyle w:val="ConsPlusNormal"/>
        <w:jc w:val="both"/>
      </w:pPr>
    </w:p>
    <w:p w14:paraId="53A1C1DA" w14:textId="77777777" w:rsidR="00EA684C" w:rsidRDefault="00EA684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6790311" w14:textId="77777777" w:rsidR="00EA684C" w:rsidRDefault="00EA684C"/>
    <w:sectPr w:rsidR="00EA684C" w:rsidSect="00EA684C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84C"/>
    <w:rsid w:val="007D34FA"/>
    <w:rsid w:val="00EA6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2568F"/>
  <w15:chartTrackingRefBased/>
  <w15:docId w15:val="{3D619B4B-26EA-4B1D-B2C0-A21EE38E2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684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A684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A684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4.jpeg"/><Relationship Id="rId7" Type="http://schemas.openxmlformats.org/officeDocument/2006/relationships/hyperlink" Target="consultantplus://offline/ref=4E0165F3A021AFFF9AF22508D8BCB316CA18459B973CFAF9FB14C74B0AB4E1C0B6FC480EB691E5CC9583365B5ACF35D80228EA0E48ADABCD5925480EG0c6N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hyperlink" Target="consultantplus://offline/ref=4E0165F3A021AFFF9AF23B05CED0EC13C81319909633F5AEA343C11C55E4E795F6BC4E5BF5D5E8CC9588620B1E916C894363E70653B1ABC7G4c3N" TargetMode="Externa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hyperlink" Target="consultantplus://offline/ref=4E0165F3A021AFFF9AF23B05CED0EC13CE151B969439F5AEA343C11C55E4E795E4BC1657F5D0F6CD9D9D345A58GCc0N" TargetMode="Externa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1104</Words>
  <Characters>6294</Characters>
  <Application>Microsoft Office Word</Application>
  <DocSecurity>0</DocSecurity>
  <Lines>52</Lines>
  <Paragraphs>14</Paragraphs>
  <ScaleCrop>false</ScaleCrop>
  <Company/>
  <LinksUpToDate>false</LinksUpToDate>
  <CharactersWithSpaces>7384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2024-08-05T13:28:00Z</dcterms:created>
  <dcterms:modified xsi:type="dcterms:W3CDTF">2024-08-05T13:28:00Z</dcterms:modified>
</cp:coreProperties>
</file>