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3399A" w14:textId="7E4F8A7C" w:rsidR="00741D70" w:rsidRDefault="00741D7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41D70">
        <w:t>Приказ комитета государственной охраны объектов культурного наследия Волгоградской обл. от 15.05.2025 N 131-од "Об утверждении предмета охраны объекта культурного наследия регионального значения "Кирха", расположенного по адресу (местонахождение): Волгоградская область, Камышинский район, с. Нижняя Добринка"</w:t>
      </w:r>
    </w:p>
    <w:p w14:paraId="0A65B273" w14:textId="77777777" w:rsidR="00741D70" w:rsidRDefault="00741D70">
      <w:pPr>
        <w:pStyle w:val="ConsPlusNormal"/>
        <w:jc w:val="both"/>
        <w:outlineLvl w:val="0"/>
      </w:pPr>
    </w:p>
    <w:p w14:paraId="7A7B8FA9" w14:textId="77777777" w:rsidR="00741D70" w:rsidRDefault="00741D7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14334D6" w14:textId="77777777" w:rsidR="00741D70" w:rsidRDefault="00741D70">
      <w:pPr>
        <w:pStyle w:val="ConsPlusTitle"/>
        <w:jc w:val="center"/>
      </w:pPr>
      <w:r>
        <w:t>КУЛЬТУРНОГО НАСЛЕДИЯ ВОЛГОГРАДСКОЙ ОБЛАСТИ</w:t>
      </w:r>
    </w:p>
    <w:p w14:paraId="3A4EEC0E" w14:textId="77777777" w:rsidR="00741D70" w:rsidRDefault="00741D70">
      <w:pPr>
        <w:pStyle w:val="ConsPlusTitle"/>
        <w:jc w:val="both"/>
      </w:pPr>
    </w:p>
    <w:p w14:paraId="00C2A7BC" w14:textId="77777777" w:rsidR="00741D70" w:rsidRDefault="00741D70">
      <w:pPr>
        <w:pStyle w:val="ConsPlusTitle"/>
        <w:jc w:val="center"/>
      </w:pPr>
      <w:r>
        <w:t>ПРИКАЗ</w:t>
      </w:r>
    </w:p>
    <w:p w14:paraId="46A9982F" w14:textId="77777777" w:rsidR="00741D70" w:rsidRDefault="00741D70">
      <w:pPr>
        <w:pStyle w:val="ConsPlusTitle"/>
        <w:jc w:val="center"/>
      </w:pPr>
      <w:r>
        <w:t>от 15 мая 2025 г. N 131-од</w:t>
      </w:r>
    </w:p>
    <w:p w14:paraId="73402873" w14:textId="77777777" w:rsidR="00741D70" w:rsidRDefault="00741D70">
      <w:pPr>
        <w:pStyle w:val="ConsPlusTitle"/>
        <w:jc w:val="both"/>
      </w:pPr>
    </w:p>
    <w:p w14:paraId="7F5CC639" w14:textId="77777777" w:rsidR="00741D70" w:rsidRDefault="00741D7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52D820D" w14:textId="77777777" w:rsidR="00741D70" w:rsidRDefault="00741D70">
      <w:pPr>
        <w:pStyle w:val="ConsPlusTitle"/>
        <w:jc w:val="center"/>
      </w:pPr>
      <w:r>
        <w:t>РЕГИОНАЛЬНОГО ЗНАЧЕНИЯ "КИРХА", РАСПОЛОЖЕННОГО ПО АДРЕСУ</w:t>
      </w:r>
    </w:p>
    <w:p w14:paraId="5DE3049D" w14:textId="77777777" w:rsidR="00741D70" w:rsidRDefault="00741D70">
      <w:pPr>
        <w:pStyle w:val="ConsPlusTitle"/>
        <w:jc w:val="center"/>
      </w:pPr>
      <w:r>
        <w:t>(МЕСТОНАХОЖДЕНИЕ): ВОЛГОГРАДСКАЯ ОБЛАСТЬ, КАМЫШИНСКИЙ РАЙОН,</w:t>
      </w:r>
    </w:p>
    <w:p w14:paraId="6934D758" w14:textId="77777777" w:rsidR="00741D70" w:rsidRDefault="00741D70">
      <w:pPr>
        <w:pStyle w:val="ConsPlusTitle"/>
        <w:jc w:val="center"/>
      </w:pPr>
      <w:r>
        <w:t>С. НИЖНЯЯ ДОБРИНКА</w:t>
      </w:r>
    </w:p>
    <w:p w14:paraId="2B3642C8" w14:textId="77777777" w:rsidR="00741D70" w:rsidRDefault="00741D70">
      <w:pPr>
        <w:pStyle w:val="ConsPlusNormal"/>
        <w:jc w:val="both"/>
      </w:pPr>
    </w:p>
    <w:p w14:paraId="5BACB724" w14:textId="77777777" w:rsidR="00741D70" w:rsidRDefault="00741D7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</w:t>
      </w:r>
      <w:hyperlink r:id="rId7">
        <w:r>
          <w:rPr>
            <w:color w:val="0000FF"/>
          </w:rPr>
          <w:t>статьей 64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0BFABAAC" w14:textId="77777777" w:rsidR="00741D70" w:rsidRDefault="00741D7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"Кирха", расположенного по адресу (местонахождение): Волгоградская область, Камышинский район, с. Нижняя Добринка.</w:t>
      </w:r>
    </w:p>
    <w:p w14:paraId="2CD7FCC0" w14:textId="77777777" w:rsidR="00741D70" w:rsidRDefault="00741D7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7508284A" w14:textId="77777777" w:rsidR="00741D70" w:rsidRDefault="00741D70">
      <w:pPr>
        <w:pStyle w:val="ConsPlusNormal"/>
        <w:jc w:val="both"/>
      </w:pPr>
    </w:p>
    <w:p w14:paraId="54FE9737" w14:textId="77777777" w:rsidR="00741D70" w:rsidRDefault="00741D70">
      <w:pPr>
        <w:pStyle w:val="ConsPlusNormal"/>
        <w:jc w:val="right"/>
      </w:pPr>
      <w:r>
        <w:t>Председатель комитета</w:t>
      </w:r>
    </w:p>
    <w:p w14:paraId="45FC0E65" w14:textId="77777777" w:rsidR="00741D70" w:rsidRDefault="00741D70">
      <w:pPr>
        <w:pStyle w:val="ConsPlusNormal"/>
        <w:jc w:val="right"/>
      </w:pPr>
      <w:r>
        <w:t>А.Ю.БАЖЕНОВ</w:t>
      </w:r>
    </w:p>
    <w:p w14:paraId="71C1045E" w14:textId="77777777" w:rsidR="00741D70" w:rsidRDefault="00741D70">
      <w:pPr>
        <w:pStyle w:val="ConsPlusNormal"/>
        <w:jc w:val="both"/>
      </w:pPr>
    </w:p>
    <w:p w14:paraId="14D17586" w14:textId="77777777" w:rsidR="00741D70" w:rsidRDefault="00741D70">
      <w:pPr>
        <w:pStyle w:val="ConsPlusNormal"/>
        <w:jc w:val="both"/>
      </w:pPr>
    </w:p>
    <w:p w14:paraId="42965465" w14:textId="77777777" w:rsidR="00741D70" w:rsidRDefault="00741D70">
      <w:pPr>
        <w:pStyle w:val="ConsPlusNormal"/>
        <w:jc w:val="both"/>
      </w:pPr>
    </w:p>
    <w:p w14:paraId="1C3081CF" w14:textId="77777777" w:rsidR="00741D70" w:rsidRDefault="00741D70">
      <w:pPr>
        <w:pStyle w:val="ConsPlusNormal"/>
        <w:jc w:val="both"/>
      </w:pPr>
    </w:p>
    <w:p w14:paraId="0BF090E2" w14:textId="77777777" w:rsidR="00741D70" w:rsidRDefault="00741D70">
      <w:pPr>
        <w:pStyle w:val="ConsPlusNormal"/>
        <w:jc w:val="both"/>
      </w:pPr>
    </w:p>
    <w:p w14:paraId="26F2E7CC" w14:textId="77777777" w:rsidR="00741D70" w:rsidRDefault="00741D70">
      <w:pPr>
        <w:pStyle w:val="ConsPlusNormal"/>
        <w:jc w:val="right"/>
        <w:outlineLvl w:val="0"/>
      </w:pPr>
      <w:r>
        <w:t>Утвержден</w:t>
      </w:r>
    </w:p>
    <w:p w14:paraId="4FB351B4" w14:textId="77777777" w:rsidR="00741D70" w:rsidRDefault="00741D70">
      <w:pPr>
        <w:pStyle w:val="ConsPlusNormal"/>
        <w:jc w:val="right"/>
      </w:pPr>
      <w:r>
        <w:t>приказом</w:t>
      </w:r>
    </w:p>
    <w:p w14:paraId="2D524301" w14:textId="77777777" w:rsidR="00741D70" w:rsidRDefault="00741D70">
      <w:pPr>
        <w:pStyle w:val="ConsPlusNormal"/>
        <w:jc w:val="right"/>
      </w:pPr>
      <w:r>
        <w:t>комитета государственной</w:t>
      </w:r>
    </w:p>
    <w:p w14:paraId="47E14452" w14:textId="77777777" w:rsidR="00741D70" w:rsidRDefault="00741D70">
      <w:pPr>
        <w:pStyle w:val="ConsPlusNormal"/>
        <w:jc w:val="right"/>
      </w:pPr>
      <w:r>
        <w:t>охраны объектов</w:t>
      </w:r>
    </w:p>
    <w:p w14:paraId="2806D828" w14:textId="77777777" w:rsidR="00741D70" w:rsidRDefault="00741D70">
      <w:pPr>
        <w:pStyle w:val="ConsPlusNormal"/>
        <w:jc w:val="right"/>
      </w:pPr>
      <w:r>
        <w:t>культурного наследия</w:t>
      </w:r>
    </w:p>
    <w:p w14:paraId="299F2C42" w14:textId="77777777" w:rsidR="00741D70" w:rsidRDefault="00741D70">
      <w:pPr>
        <w:pStyle w:val="ConsPlusNormal"/>
        <w:jc w:val="right"/>
      </w:pPr>
      <w:r>
        <w:t>Волгоградской области</w:t>
      </w:r>
    </w:p>
    <w:p w14:paraId="5A719C84" w14:textId="77777777" w:rsidR="00741D70" w:rsidRDefault="00741D70">
      <w:pPr>
        <w:pStyle w:val="ConsPlusNormal"/>
        <w:jc w:val="right"/>
      </w:pPr>
      <w:r>
        <w:t>от 15 мая 2025 г. N 131-од</w:t>
      </w:r>
    </w:p>
    <w:p w14:paraId="538E6B2A" w14:textId="77777777" w:rsidR="00741D70" w:rsidRDefault="00741D70">
      <w:pPr>
        <w:pStyle w:val="ConsPlusNormal"/>
        <w:jc w:val="both"/>
      </w:pPr>
    </w:p>
    <w:p w14:paraId="19B203BA" w14:textId="77777777" w:rsidR="00741D70" w:rsidRDefault="00741D70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5D45A566" w14:textId="77777777" w:rsidR="00741D70" w:rsidRDefault="00741D70">
      <w:pPr>
        <w:pStyle w:val="ConsPlusTitle"/>
        <w:jc w:val="center"/>
      </w:pPr>
      <w:r>
        <w:t>ЗНАЧЕНИЯ "КИРХА", РАСПОЛОЖЕННОГО ПО АДРЕСУ</w:t>
      </w:r>
    </w:p>
    <w:p w14:paraId="53E7280C" w14:textId="77777777" w:rsidR="00741D70" w:rsidRDefault="00741D70">
      <w:pPr>
        <w:pStyle w:val="ConsPlusTitle"/>
        <w:jc w:val="center"/>
      </w:pPr>
      <w:r>
        <w:t>(МЕСТОНАХОЖДЕНИЕ): ВОЛГОГРАДСКАЯ ОБЛАСТЬ, КАМЫШИНСКИЙ РАЙОН,</w:t>
      </w:r>
    </w:p>
    <w:p w14:paraId="65F84713" w14:textId="77777777" w:rsidR="00741D70" w:rsidRDefault="00741D70">
      <w:pPr>
        <w:pStyle w:val="ConsPlusTitle"/>
        <w:jc w:val="center"/>
      </w:pPr>
      <w:r>
        <w:t>С. НИЖНЯЯ ДОБРИНКА &lt;1&gt;</w:t>
      </w:r>
    </w:p>
    <w:p w14:paraId="00CB8144" w14:textId="77777777" w:rsidR="00741D70" w:rsidRDefault="00741D70">
      <w:pPr>
        <w:pStyle w:val="ConsPlusNormal"/>
        <w:jc w:val="both"/>
      </w:pPr>
    </w:p>
    <w:p w14:paraId="1A2ACD9F" w14:textId="77777777" w:rsidR="00741D70" w:rsidRDefault="00741D70">
      <w:pPr>
        <w:pStyle w:val="ConsPlusNormal"/>
        <w:ind w:firstLine="540"/>
        <w:jc w:val="both"/>
      </w:pPr>
      <w:r>
        <w:t>--------------------------------</w:t>
      </w:r>
    </w:p>
    <w:p w14:paraId="771EFDEA" w14:textId="77777777" w:rsidR="00741D70" w:rsidRDefault="00741D7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AFFE557" w14:textId="77777777" w:rsidR="00741D70" w:rsidRDefault="00741D70">
      <w:pPr>
        <w:pStyle w:val="ConsPlusNormal"/>
        <w:jc w:val="both"/>
      </w:pPr>
    </w:p>
    <w:p w14:paraId="460E2F6B" w14:textId="77777777" w:rsidR="00741D70" w:rsidRDefault="00741D7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"Кирха", расположенного по адресу (местонахождение): Волгоградская область, Камышинский район, с. Нижняя Добринка, являются:</w:t>
      </w:r>
    </w:p>
    <w:p w14:paraId="293DFC9B" w14:textId="77777777" w:rsidR="00741D70" w:rsidRDefault="00741D7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81"/>
        <w:gridCol w:w="2438"/>
        <w:gridCol w:w="3685"/>
      </w:tblGrid>
      <w:tr w:rsidR="00741D70" w14:paraId="489E21E4" w14:textId="77777777">
        <w:tc>
          <w:tcPr>
            <w:tcW w:w="567" w:type="dxa"/>
          </w:tcPr>
          <w:p w14:paraId="4A108CE4" w14:textId="77777777" w:rsidR="00741D70" w:rsidRDefault="00741D7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77F9E4B6" w14:textId="77777777" w:rsidR="00741D70" w:rsidRDefault="00741D7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48C80ACF" w14:textId="77777777" w:rsidR="00741D70" w:rsidRDefault="00741D7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3D53883B" w14:textId="77777777" w:rsidR="00741D70" w:rsidRDefault="00741D7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741D70" w14:paraId="2BCCD10D" w14:textId="77777777">
        <w:tc>
          <w:tcPr>
            <w:tcW w:w="567" w:type="dxa"/>
          </w:tcPr>
          <w:p w14:paraId="7586F53A" w14:textId="77777777" w:rsidR="00741D70" w:rsidRDefault="00741D7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557AA443" w14:textId="77777777" w:rsidR="00741D70" w:rsidRDefault="00741D7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5CFC7149" w14:textId="77777777" w:rsidR="00741D70" w:rsidRDefault="00741D70">
            <w:pPr>
              <w:pStyle w:val="ConsPlusNormal"/>
            </w:pPr>
            <w:r>
              <w:t>здание расположено в с. Нижняя Добринка, главным фасадом ориентированно на юго-запад</w:t>
            </w:r>
          </w:p>
        </w:tc>
        <w:tc>
          <w:tcPr>
            <w:tcW w:w="3685" w:type="dxa"/>
          </w:tcPr>
          <w:p w14:paraId="5B92DA48" w14:textId="77777777" w:rsidR="00741D70" w:rsidRDefault="00741D70">
            <w:pPr>
              <w:pStyle w:val="ConsPlusNormal"/>
            </w:pPr>
            <w:r>
              <w:rPr>
                <w:noProof/>
                <w:position w:val="-204"/>
              </w:rPr>
              <w:drawing>
                <wp:inline distT="0" distB="0" distL="0" distR="0" wp14:anchorId="5310172B" wp14:editId="2B55B7EC">
                  <wp:extent cx="2261235" cy="275209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52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D70" w14:paraId="4D608025" w14:textId="77777777">
        <w:tc>
          <w:tcPr>
            <w:tcW w:w="567" w:type="dxa"/>
          </w:tcPr>
          <w:p w14:paraId="6B7CB1D7" w14:textId="77777777" w:rsidR="00741D70" w:rsidRDefault="00741D7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29BF884E" w14:textId="77777777" w:rsidR="00741D70" w:rsidRDefault="00741D70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33DCF446" w14:textId="77777777" w:rsidR="00741D70" w:rsidRDefault="00741D70">
            <w:pPr>
              <w:pStyle w:val="ConsPlusNormal"/>
            </w:pPr>
            <w:r>
              <w:t>одноэтажное, двухсветное, прямоугольное в плане здание с полукруглым объемом апсиды (на северо-восточном фасаде) и прямоугольным нартексом (на юго-западном фасаде)</w:t>
            </w:r>
          </w:p>
        </w:tc>
        <w:tc>
          <w:tcPr>
            <w:tcW w:w="3685" w:type="dxa"/>
          </w:tcPr>
          <w:p w14:paraId="3E93F666" w14:textId="77777777" w:rsidR="00741D70" w:rsidRDefault="00741D70">
            <w:pPr>
              <w:pStyle w:val="ConsPlusNormal"/>
            </w:pPr>
          </w:p>
        </w:tc>
      </w:tr>
      <w:tr w:rsidR="00741D70" w14:paraId="04004B00" w14:textId="77777777">
        <w:tc>
          <w:tcPr>
            <w:tcW w:w="567" w:type="dxa"/>
          </w:tcPr>
          <w:p w14:paraId="0A20E429" w14:textId="77777777" w:rsidR="00741D70" w:rsidRDefault="00741D7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2ADDAEC5" w14:textId="77777777" w:rsidR="00741D70" w:rsidRDefault="00741D70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438" w:type="dxa"/>
          </w:tcPr>
          <w:p w14:paraId="1586860C" w14:textId="77777777" w:rsidR="00741D70" w:rsidRDefault="00741D7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64D142F7" w14:textId="77777777" w:rsidR="00741D70" w:rsidRDefault="00741D70">
            <w:pPr>
              <w:pStyle w:val="ConsPlusNormal"/>
            </w:pPr>
            <w:r>
              <w:t>- центральный ризалит (нартекс);</w:t>
            </w:r>
          </w:p>
          <w:p w14:paraId="4B02D7F2" w14:textId="77777777" w:rsidR="00741D70" w:rsidRDefault="00741D70">
            <w:pPr>
              <w:pStyle w:val="ConsPlusNormal"/>
            </w:pPr>
            <w:r>
              <w:t>- колонны портика круглого сечения с капителями тосканского ордера;</w:t>
            </w:r>
          </w:p>
          <w:p w14:paraId="47232D10" w14:textId="77777777" w:rsidR="00741D70" w:rsidRDefault="00741D70">
            <w:pPr>
              <w:pStyle w:val="ConsPlusNormal"/>
            </w:pPr>
            <w:r>
              <w:t>- профилированный сандрик дверного проема в виде лучкового фронтона с розеткой по центру;</w:t>
            </w:r>
          </w:p>
          <w:p w14:paraId="2B84A9F6" w14:textId="77777777" w:rsidR="00741D70" w:rsidRDefault="00741D70">
            <w:pPr>
              <w:pStyle w:val="ConsPlusNormal"/>
            </w:pPr>
            <w:r>
              <w:t>- профилированная тяга;</w:t>
            </w:r>
          </w:p>
          <w:p w14:paraId="1B791278" w14:textId="77777777" w:rsidR="00741D70" w:rsidRDefault="00741D70">
            <w:pPr>
              <w:pStyle w:val="ConsPlusNormal"/>
            </w:pPr>
            <w:r>
              <w:t>- профилированная подоконная полочка со свесами;</w:t>
            </w:r>
          </w:p>
          <w:p w14:paraId="0EC63FBE" w14:textId="77777777" w:rsidR="00741D70" w:rsidRDefault="00741D70">
            <w:pPr>
              <w:pStyle w:val="ConsPlusNormal"/>
            </w:pPr>
            <w:r>
              <w:t>- профилированный наличник оконного проема;</w:t>
            </w:r>
          </w:p>
          <w:p w14:paraId="66880DB3" w14:textId="77777777" w:rsidR="00741D70" w:rsidRDefault="00741D70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0C827647" w14:textId="77777777" w:rsidR="00741D70" w:rsidRDefault="00741D70">
            <w:pPr>
              <w:pStyle w:val="ConsPlusNormal"/>
            </w:pPr>
            <w:r>
              <w:rPr>
                <w:noProof/>
                <w:position w:val="-130"/>
              </w:rPr>
              <w:drawing>
                <wp:inline distT="0" distB="0" distL="0" distR="0" wp14:anchorId="127D9069" wp14:editId="7619BE0B">
                  <wp:extent cx="2261235" cy="1813560"/>
                  <wp:effectExtent l="0" t="0" r="0" b="0"/>
                  <wp:docPr id="17911392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D70" w14:paraId="040B5FF7" w14:textId="77777777">
        <w:tc>
          <w:tcPr>
            <w:tcW w:w="567" w:type="dxa"/>
          </w:tcPr>
          <w:p w14:paraId="1A4A043D" w14:textId="77777777" w:rsidR="00741D70" w:rsidRDefault="00741D7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24914558" w14:textId="77777777" w:rsidR="00741D70" w:rsidRDefault="00741D70">
            <w:pPr>
              <w:pStyle w:val="ConsPlusNormal"/>
            </w:pPr>
            <w:r>
              <w:t>Композиционное и архитектурно-художественное оформление юго-восточного и северо-западного фасадов</w:t>
            </w:r>
          </w:p>
        </w:tc>
        <w:tc>
          <w:tcPr>
            <w:tcW w:w="2438" w:type="dxa"/>
          </w:tcPr>
          <w:p w14:paraId="741E08BF" w14:textId="77777777" w:rsidR="00741D70" w:rsidRDefault="00741D70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3F42880A" w14:textId="77777777" w:rsidR="00741D70" w:rsidRDefault="00741D70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669BCD3" w14:textId="77777777" w:rsidR="00741D70" w:rsidRDefault="00741D70">
            <w:pPr>
              <w:pStyle w:val="ConsPlusNormal"/>
            </w:pPr>
            <w:r>
              <w:t>- колонны портика круглого сечения с капителями тосканского ордера;</w:t>
            </w:r>
          </w:p>
          <w:p w14:paraId="517DD8A5" w14:textId="77777777" w:rsidR="00741D70" w:rsidRDefault="00741D70">
            <w:pPr>
              <w:pStyle w:val="ConsPlusNormal"/>
            </w:pPr>
            <w:r>
              <w:t>- прямоугольные дверные проемы в арочных нишах с профилированными архивольтами;</w:t>
            </w:r>
          </w:p>
          <w:p w14:paraId="63ED24A8" w14:textId="77777777" w:rsidR="00741D70" w:rsidRDefault="00741D70">
            <w:pPr>
              <w:pStyle w:val="ConsPlusNormal"/>
            </w:pPr>
            <w:r>
              <w:t>- розетки в нишах над дверными проемами;</w:t>
            </w:r>
          </w:p>
          <w:p w14:paraId="1BA41E65" w14:textId="77777777" w:rsidR="00741D70" w:rsidRDefault="00741D70">
            <w:pPr>
              <w:pStyle w:val="ConsPlusNormal"/>
            </w:pPr>
            <w:r>
              <w:t xml:space="preserve">- профилированная </w:t>
            </w:r>
            <w:r>
              <w:lastRenderedPageBreak/>
              <w:t xml:space="preserve">тяга на уровне верха дверных проемов, </w:t>
            </w:r>
            <w:proofErr w:type="spellStart"/>
            <w:r>
              <w:t>раскрепованная</w:t>
            </w:r>
            <w:proofErr w:type="spellEnd"/>
            <w:r>
              <w:t xml:space="preserve"> арочными нишами;</w:t>
            </w:r>
          </w:p>
          <w:p w14:paraId="022EC89C" w14:textId="77777777" w:rsidR="00741D70" w:rsidRDefault="00741D70">
            <w:pPr>
              <w:pStyle w:val="ConsPlusNormal"/>
            </w:pPr>
            <w:r>
              <w:t>- профилированные подоконные полочки со свесами;</w:t>
            </w:r>
          </w:p>
          <w:p w14:paraId="57D2B9D3" w14:textId="77777777" w:rsidR="00741D70" w:rsidRDefault="00741D70">
            <w:pPr>
              <w:pStyle w:val="ConsPlusNormal"/>
            </w:pPr>
            <w:r>
              <w:t>- профилированные наличники оконных проемов;</w:t>
            </w:r>
          </w:p>
          <w:p w14:paraId="4A2FB37D" w14:textId="77777777" w:rsidR="00741D70" w:rsidRDefault="00741D70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2305991B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lastRenderedPageBreak/>
              <w:drawing>
                <wp:inline distT="0" distB="0" distL="0" distR="0" wp14:anchorId="549CAB26" wp14:editId="195EB416">
                  <wp:extent cx="2261235" cy="1276985"/>
                  <wp:effectExtent l="0" t="0" r="0" b="0"/>
                  <wp:docPr id="5671574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CF5A5B" w14:textId="77777777" w:rsidR="00741D70" w:rsidRDefault="00741D70">
            <w:pPr>
              <w:pStyle w:val="ConsPlusNormal"/>
            </w:pPr>
          </w:p>
          <w:p w14:paraId="35CA1BB8" w14:textId="77777777" w:rsidR="00741D70" w:rsidRDefault="00741D70">
            <w:pPr>
              <w:pStyle w:val="ConsPlusNormal"/>
              <w:jc w:val="center"/>
            </w:pPr>
            <w:r>
              <w:t>юго-восточный фасад</w:t>
            </w:r>
          </w:p>
          <w:p w14:paraId="25962056" w14:textId="77777777" w:rsidR="00741D70" w:rsidRDefault="00741D70">
            <w:pPr>
              <w:pStyle w:val="ConsPlusNormal"/>
            </w:pPr>
          </w:p>
          <w:p w14:paraId="0B634974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612F7D51" wp14:editId="75E777A5">
                  <wp:extent cx="2261235" cy="1276985"/>
                  <wp:effectExtent l="0" t="0" r="0" b="0"/>
                  <wp:docPr id="3800560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276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5A22E" w14:textId="77777777" w:rsidR="00741D70" w:rsidRDefault="00741D70">
            <w:pPr>
              <w:pStyle w:val="ConsPlusNormal"/>
            </w:pPr>
          </w:p>
          <w:p w14:paraId="222BC403" w14:textId="77777777" w:rsidR="00741D70" w:rsidRDefault="00741D70">
            <w:pPr>
              <w:pStyle w:val="ConsPlusNormal"/>
              <w:jc w:val="center"/>
            </w:pPr>
            <w:r>
              <w:t>северо-западный фасад</w:t>
            </w:r>
          </w:p>
        </w:tc>
      </w:tr>
      <w:tr w:rsidR="00741D70" w14:paraId="4C0A5120" w14:textId="77777777">
        <w:tc>
          <w:tcPr>
            <w:tcW w:w="567" w:type="dxa"/>
          </w:tcPr>
          <w:p w14:paraId="436D3509" w14:textId="77777777" w:rsidR="00741D70" w:rsidRDefault="00741D7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</w:tcPr>
          <w:p w14:paraId="4F987DD9" w14:textId="77777777" w:rsidR="00741D70" w:rsidRDefault="00741D70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38" w:type="dxa"/>
          </w:tcPr>
          <w:p w14:paraId="2820D708" w14:textId="77777777" w:rsidR="00741D70" w:rsidRDefault="00741D7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EE628A6" w14:textId="77777777" w:rsidR="00741D70" w:rsidRDefault="00741D70">
            <w:pPr>
              <w:pStyle w:val="ConsPlusNormal"/>
            </w:pPr>
            <w:r>
              <w:t>- полукруглая апсида;</w:t>
            </w:r>
          </w:p>
          <w:p w14:paraId="2EB21A82" w14:textId="77777777" w:rsidR="00741D70" w:rsidRDefault="00741D70">
            <w:pPr>
              <w:pStyle w:val="ConsPlusNormal"/>
            </w:pPr>
            <w:r>
              <w:t>- прямоугольные оконные и дверные проемы в арочных нишах с профилированными архивольтами;</w:t>
            </w:r>
          </w:p>
          <w:p w14:paraId="01AFBB88" w14:textId="77777777" w:rsidR="00741D70" w:rsidRDefault="00741D70">
            <w:pPr>
              <w:pStyle w:val="ConsPlusNormal"/>
            </w:pPr>
            <w:r>
              <w:t>- розетки в нишах над дверными и оконными проемами;</w:t>
            </w:r>
          </w:p>
          <w:p w14:paraId="4DB9FCC3" w14:textId="77777777" w:rsidR="00741D70" w:rsidRDefault="00741D70">
            <w:pPr>
              <w:pStyle w:val="ConsPlusNormal"/>
            </w:pPr>
            <w:r>
              <w:t xml:space="preserve">- профилированная тяга на уровне верха дверных проемов, </w:t>
            </w:r>
            <w:proofErr w:type="spellStart"/>
            <w:r>
              <w:t>раскрепованная</w:t>
            </w:r>
            <w:proofErr w:type="spellEnd"/>
            <w:r>
              <w:t xml:space="preserve"> арочными нишами;</w:t>
            </w:r>
          </w:p>
          <w:p w14:paraId="7322B30F" w14:textId="77777777" w:rsidR="00741D70" w:rsidRDefault="00741D70">
            <w:pPr>
              <w:pStyle w:val="ConsPlusNormal"/>
            </w:pPr>
            <w:r>
              <w:t>- карниз апсиды;</w:t>
            </w:r>
          </w:p>
          <w:p w14:paraId="153C3EB6" w14:textId="77777777" w:rsidR="00741D70" w:rsidRDefault="00741D70">
            <w:pPr>
              <w:pStyle w:val="ConsPlusNormal"/>
            </w:pPr>
            <w:r>
              <w:t>- венчающий карниз</w:t>
            </w:r>
          </w:p>
        </w:tc>
        <w:tc>
          <w:tcPr>
            <w:tcW w:w="3685" w:type="dxa"/>
          </w:tcPr>
          <w:p w14:paraId="433E9420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4BE5F25F" wp14:editId="4F90030C">
                  <wp:extent cx="2261235" cy="1500505"/>
                  <wp:effectExtent l="0" t="0" r="0" b="0"/>
                  <wp:docPr id="16280251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C55874" w14:textId="77777777" w:rsidR="00741D70" w:rsidRDefault="00741D70">
            <w:pPr>
              <w:pStyle w:val="ConsPlusNormal"/>
            </w:pPr>
          </w:p>
          <w:p w14:paraId="77DF4942" w14:textId="77777777" w:rsidR="00741D70" w:rsidRDefault="00741D70">
            <w:pPr>
              <w:pStyle w:val="ConsPlusNormal"/>
              <w:jc w:val="center"/>
            </w:pPr>
            <w:r>
              <w:t>северо-восточный фасад</w:t>
            </w:r>
          </w:p>
        </w:tc>
      </w:tr>
      <w:tr w:rsidR="00741D70" w14:paraId="5888E65C" w14:textId="77777777">
        <w:tc>
          <w:tcPr>
            <w:tcW w:w="567" w:type="dxa"/>
          </w:tcPr>
          <w:p w14:paraId="42D7250C" w14:textId="77777777" w:rsidR="00741D70" w:rsidRDefault="00741D7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81" w:type="dxa"/>
          </w:tcPr>
          <w:p w14:paraId="52B510D4" w14:textId="77777777" w:rsidR="00741D70" w:rsidRDefault="00741D70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07537C32" w14:textId="77777777" w:rsidR="00741D70" w:rsidRDefault="00741D70">
            <w:pPr>
              <w:pStyle w:val="ConsPlusNormal"/>
            </w:pPr>
            <w:r>
              <w:t>оштукатуренная, окрашенная кладка стен из керамического кирпича</w:t>
            </w:r>
          </w:p>
        </w:tc>
        <w:tc>
          <w:tcPr>
            <w:tcW w:w="3685" w:type="dxa"/>
          </w:tcPr>
          <w:p w14:paraId="28D04236" w14:textId="77777777" w:rsidR="00741D70" w:rsidRDefault="00741D70">
            <w:pPr>
              <w:pStyle w:val="ConsPlusNormal"/>
            </w:pPr>
          </w:p>
        </w:tc>
      </w:tr>
      <w:tr w:rsidR="00741D70" w14:paraId="193DB3AD" w14:textId="77777777">
        <w:tc>
          <w:tcPr>
            <w:tcW w:w="567" w:type="dxa"/>
          </w:tcPr>
          <w:p w14:paraId="16FA41F9" w14:textId="77777777" w:rsidR="00741D70" w:rsidRDefault="00741D70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19C1AC2D" w14:textId="77777777" w:rsidR="00741D70" w:rsidRDefault="00741D70">
            <w:pPr>
              <w:pStyle w:val="ConsPlusNormal"/>
            </w:pPr>
            <w:r>
              <w:t>Конструктивные элементы</w:t>
            </w:r>
          </w:p>
        </w:tc>
        <w:tc>
          <w:tcPr>
            <w:tcW w:w="2438" w:type="dxa"/>
          </w:tcPr>
          <w:p w14:paraId="35F6EF19" w14:textId="77777777" w:rsidR="00741D70" w:rsidRDefault="00741D70">
            <w:pPr>
              <w:pStyle w:val="ConsPlusNormal"/>
            </w:pPr>
            <w:r>
              <w:t>кирпичные несущие стены;</w:t>
            </w:r>
          </w:p>
          <w:p w14:paraId="5D3F6720" w14:textId="77777777" w:rsidR="00741D70" w:rsidRDefault="00741D70">
            <w:pPr>
              <w:pStyle w:val="ConsPlusNormal"/>
            </w:pPr>
          </w:p>
          <w:p w14:paraId="646416AE" w14:textId="77777777" w:rsidR="00741D70" w:rsidRDefault="00741D70">
            <w:pPr>
              <w:pStyle w:val="ConsPlusNormal"/>
            </w:pPr>
            <w:r>
              <w:t>клинчатые перемычки оконных и дверных проемов;</w:t>
            </w:r>
          </w:p>
          <w:p w14:paraId="6EC70C2A" w14:textId="77777777" w:rsidR="00741D70" w:rsidRDefault="00741D70">
            <w:pPr>
              <w:pStyle w:val="ConsPlusNormal"/>
            </w:pPr>
          </w:p>
          <w:p w14:paraId="652AAA3B" w14:textId="77777777" w:rsidR="00741D70" w:rsidRDefault="00741D70">
            <w:pPr>
              <w:pStyle w:val="ConsPlusNormal"/>
            </w:pPr>
            <w:r>
              <w:t>арочная перемычка ниши и оконного проема в алтарной части</w:t>
            </w:r>
          </w:p>
        </w:tc>
        <w:tc>
          <w:tcPr>
            <w:tcW w:w="3685" w:type="dxa"/>
          </w:tcPr>
          <w:p w14:paraId="30D186C1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62D1C9B6" wp14:editId="2534299B">
                  <wp:extent cx="2261235" cy="1666240"/>
                  <wp:effectExtent l="0" t="0" r="0" b="0"/>
                  <wp:docPr id="5518856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6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2B7479" w14:textId="77777777" w:rsidR="00741D70" w:rsidRDefault="00741D70">
            <w:pPr>
              <w:pStyle w:val="ConsPlusNormal"/>
            </w:pPr>
          </w:p>
          <w:p w14:paraId="2B204869" w14:textId="77777777" w:rsidR="00741D70" w:rsidRDefault="00741D70">
            <w:pPr>
              <w:pStyle w:val="ConsPlusNormal"/>
              <w:jc w:val="center"/>
            </w:pPr>
            <w:r>
              <w:t>клинчатые перемычки</w:t>
            </w:r>
          </w:p>
          <w:p w14:paraId="1086A0C4" w14:textId="77777777" w:rsidR="00741D70" w:rsidRDefault="00741D70">
            <w:pPr>
              <w:pStyle w:val="ConsPlusNormal"/>
            </w:pPr>
          </w:p>
          <w:p w14:paraId="17D230A9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106"/>
              </w:rPr>
              <w:drawing>
                <wp:inline distT="0" distB="0" distL="0" distR="0" wp14:anchorId="5D2CD4A8" wp14:editId="1BE71776">
                  <wp:extent cx="2261235" cy="1500505"/>
                  <wp:effectExtent l="0" t="0" r="0" b="0"/>
                  <wp:docPr id="13879441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0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1725F" w14:textId="77777777" w:rsidR="00741D70" w:rsidRDefault="00741D70">
            <w:pPr>
              <w:pStyle w:val="ConsPlusNormal"/>
            </w:pPr>
          </w:p>
          <w:p w14:paraId="4DADA271" w14:textId="77777777" w:rsidR="00741D70" w:rsidRDefault="00741D70">
            <w:pPr>
              <w:pStyle w:val="ConsPlusNormal"/>
              <w:jc w:val="center"/>
            </w:pPr>
            <w:r>
              <w:t>арочные перемычки</w:t>
            </w:r>
          </w:p>
        </w:tc>
      </w:tr>
      <w:tr w:rsidR="00741D70" w14:paraId="1B9B0C41" w14:textId="77777777">
        <w:tc>
          <w:tcPr>
            <w:tcW w:w="567" w:type="dxa"/>
          </w:tcPr>
          <w:p w14:paraId="6F22B987" w14:textId="77777777" w:rsidR="00741D70" w:rsidRDefault="00741D70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381" w:type="dxa"/>
          </w:tcPr>
          <w:p w14:paraId="22346D66" w14:textId="77777777" w:rsidR="00741D70" w:rsidRDefault="00741D70">
            <w:pPr>
              <w:pStyle w:val="ConsPlusNormal"/>
            </w:pPr>
            <w:r>
              <w:t>Ограждение участка</w:t>
            </w:r>
          </w:p>
        </w:tc>
        <w:tc>
          <w:tcPr>
            <w:tcW w:w="2438" w:type="dxa"/>
          </w:tcPr>
          <w:p w14:paraId="5055B78C" w14:textId="77777777" w:rsidR="00741D70" w:rsidRDefault="00741D70">
            <w:pPr>
              <w:pStyle w:val="ConsPlusNormal"/>
            </w:pPr>
            <w:r>
              <w:t>входные ворота:</w:t>
            </w:r>
          </w:p>
          <w:p w14:paraId="036F595E" w14:textId="77777777" w:rsidR="00741D70" w:rsidRDefault="00741D70">
            <w:pPr>
              <w:pStyle w:val="ConsPlusNormal"/>
            </w:pPr>
            <w:r>
              <w:t>- кирпичные столбы квадратного сечения с прямоугольными базами и сложными капителями;</w:t>
            </w:r>
          </w:p>
          <w:p w14:paraId="61C42704" w14:textId="77777777" w:rsidR="00741D70" w:rsidRDefault="00741D70">
            <w:pPr>
              <w:pStyle w:val="ConsPlusNormal"/>
            </w:pPr>
            <w:r>
              <w:t>- кованая металлическая перемычка в геометрических формах из профиля квадратного сечения</w:t>
            </w:r>
          </w:p>
        </w:tc>
        <w:tc>
          <w:tcPr>
            <w:tcW w:w="3685" w:type="dxa"/>
          </w:tcPr>
          <w:p w14:paraId="3D19A350" w14:textId="77777777" w:rsidR="00741D70" w:rsidRDefault="00741D70">
            <w:pPr>
              <w:pStyle w:val="ConsPlusNormal"/>
              <w:jc w:val="center"/>
            </w:pPr>
            <w:r>
              <w:rPr>
                <w:noProof/>
                <w:position w:val="-127"/>
              </w:rPr>
              <w:drawing>
                <wp:inline distT="0" distB="0" distL="0" distR="0" wp14:anchorId="0B7BC8F6" wp14:editId="26D93699">
                  <wp:extent cx="2261235" cy="1775460"/>
                  <wp:effectExtent l="0" t="0" r="0" b="0"/>
                  <wp:docPr id="17160358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75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31EB70" w14:textId="77777777" w:rsidR="00741D70" w:rsidRDefault="00741D70">
      <w:pPr>
        <w:pStyle w:val="ConsPlusNormal"/>
        <w:jc w:val="both"/>
      </w:pPr>
    </w:p>
    <w:p w14:paraId="6421E8A6" w14:textId="77777777" w:rsidR="00741D70" w:rsidRDefault="00741D70">
      <w:pPr>
        <w:pStyle w:val="ConsPlusNormal"/>
        <w:jc w:val="both"/>
      </w:pPr>
    </w:p>
    <w:p w14:paraId="03E714A8" w14:textId="77777777" w:rsidR="00741D70" w:rsidRDefault="00741D7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680FBCB" w14:textId="77777777" w:rsidR="00741D70" w:rsidRDefault="00741D70"/>
    <w:sectPr w:rsidR="00741D70" w:rsidSect="00741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D70"/>
    <w:rsid w:val="00741D70"/>
    <w:rsid w:val="00BD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99392"/>
  <w15:chartTrackingRefBased/>
  <w15:docId w15:val="{BB0D9B12-8FB3-4F3E-92EB-5B0AB2349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1D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D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D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D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D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D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D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D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D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1D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41D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41D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41D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41D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41D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41D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41D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41D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41D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41D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D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41D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41D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41D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41D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41D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41D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41D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41D7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741D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1D7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1D7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FE9A703AA774D512FD793005388D59387349F28DD2A4D92EF5CD9AFF5DAD7D05062FA85EC1F51E93EB26479381104DF5D73A63E9063328556BDA99QFd3I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3FE9A703AA774D512FD673D1354D25C3C7114FE87DDAB8E76A2CBCDA00DAB28454629FD1D85FB169BE07217D7DF491DB29C3764F41A332CQ4dEI" TargetMode="Externa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3FE9A703AA774D512FD673D1354D25C3A7815F98CDDAB8E76A2CBCDA00DAB28454629FD1D85F81E93E07217D7DF491DB29C3764F41A332CQ4dEI" TargetMode="External"/><Relationship Id="rId11" Type="http://schemas.openxmlformats.org/officeDocument/2006/relationships/image" Target="media/image3.png"/><Relationship Id="rId5" Type="http://schemas.openxmlformats.org/officeDocument/2006/relationships/hyperlink" Target="consultantplus://offline/ref=03FE9A703AA774D512FD673D1354D25C3C7114FE87DDAB8E76A2CBCDA00DAB28574671F11C86E61F95F5244691Q8dFI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5193</Characters>
  <Application>Microsoft Office Word</Application>
  <DocSecurity>0</DocSecurity>
  <Lines>43</Lines>
  <Paragraphs>12</Paragraphs>
  <ScaleCrop>false</ScaleCrop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2025-06-13T08:29:00Z</dcterms:created>
  <dcterms:modified xsi:type="dcterms:W3CDTF">2025-06-13T08:29:00Z</dcterms:modified>
</cp:coreProperties>
</file>