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A14E6D" w14:textId="1CB6EBAD" w:rsidR="00BB041C" w:rsidRDefault="00BB041C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  <w:r w:rsidRPr="00BB041C">
        <w:t>Приказ комитета государственной охраны объектов культурного наследия Волгоградской обл. от 19.11.2025 N 97-н "Об утверждении предмета охраны объекта культурного наследия регионального значения "Жилой дом (ДСШ)", расположенного по адресу (местонахождение): Волгоградская область, г. Волгоград, Центральный район, ул. Советская, 4а</w:t>
      </w:r>
    </w:p>
    <w:p w14:paraId="584A84FC" w14:textId="77777777" w:rsidR="00BB041C" w:rsidRDefault="00BB041C">
      <w:pPr>
        <w:pStyle w:val="ConsPlusNormal"/>
        <w:jc w:val="both"/>
        <w:outlineLvl w:val="0"/>
      </w:pPr>
    </w:p>
    <w:p w14:paraId="3DDCAC23" w14:textId="77777777" w:rsidR="00BB041C" w:rsidRDefault="00BB041C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14:paraId="55C48677" w14:textId="77777777" w:rsidR="00BB041C" w:rsidRDefault="00BB041C">
      <w:pPr>
        <w:pStyle w:val="ConsPlusTitle"/>
        <w:jc w:val="center"/>
      </w:pPr>
      <w:r>
        <w:t>КУЛЬТУРНОГО НАСЛЕДИЯ ВОЛГОГРАДСКОЙ ОБЛАСТИ</w:t>
      </w:r>
    </w:p>
    <w:p w14:paraId="6F677592" w14:textId="77777777" w:rsidR="00BB041C" w:rsidRDefault="00BB041C">
      <w:pPr>
        <w:pStyle w:val="ConsPlusTitle"/>
        <w:jc w:val="both"/>
      </w:pPr>
    </w:p>
    <w:p w14:paraId="6F1642EB" w14:textId="77777777" w:rsidR="00BB041C" w:rsidRDefault="00BB041C">
      <w:pPr>
        <w:pStyle w:val="ConsPlusTitle"/>
        <w:jc w:val="center"/>
      </w:pPr>
      <w:r>
        <w:t>ПРИКАЗ</w:t>
      </w:r>
    </w:p>
    <w:p w14:paraId="44122C54" w14:textId="77777777" w:rsidR="00BB041C" w:rsidRDefault="00BB041C">
      <w:pPr>
        <w:pStyle w:val="ConsPlusTitle"/>
        <w:jc w:val="center"/>
      </w:pPr>
      <w:r>
        <w:t>от 19 ноября 2025 г. N 97-н</w:t>
      </w:r>
    </w:p>
    <w:p w14:paraId="083B6F35" w14:textId="77777777" w:rsidR="00BB041C" w:rsidRDefault="00BB041C">
      <w:pPr>
        <w:pStyle w:val="ConsPlusTitle"/>
        <w:jc w:val="both"/>
      </w:pPr>
    </w:p>
    <w:p w14:paraId="6B25EBD0" w14:textId="77777777" w:rsidR="00BB041C" w:rsidRDefault="00BB041C">
      <w:pPr>
        <w:pStyle w:val="ConsPlusTitle"/>
        <w:jc w:val="center"/>
      </w:pPr>
      <w:r>
        <w:t>ОБ УТВЕРЖДЕНИИ ПРЕДМЕТА ОХРАНЫ ОБЪЕКТА КУЛЬТУРНОГО НАСЛЕДИЯ</w:t>
      </w:r>
    </w:p>
    <w:p w14:paraId="28D4872C" w14:textId="77777777" w:rsidR="00BB041C" w:rsidRDefault="00BB041C">
      <w:pPr>
        <w:pStyle w:val="ConsPlusTitle"/>
        <w:jc w:val="center"/>
      </w:pPr>
      <w:r>
        <w:t>РЕГИОНАЛЬНОГО ЗНАЧЕНИЯ "ЖИЛОЙ ДОМ (ДСШ)", РАСПОЛОЖЕННОГО</w:t>
      </w:r>
    </w:p>
    <w:p w14:paraId="7C525927" w14:textId="77777777" w:rsidR="00BB041C" w:rsidRDefault="00BB041C">
      <w:pPr>
        <w:pStyle w:val="ConsPlusTitle"/>
        <w:jc w:val="center"/>
      </w:pPr>
      <w:r>
        <w:t>ПО АДРЕСУ (МЕСТОНАХОЖДЕНИЕ): ВОЛГОГРАДСКАЯ ОБЛАСТЬ,</w:t>
      </w:r>
    </w:p>
    <w:p w14:paraId="7E3339E1" w14:textId="77777777" w:rsidR="00BB041C" w:rsidRDefault="00BB041C">
      <w:pPr>
        <w:pStyle w:val="ConsPlusTitle"/>
        <w:jc w:val="center"/>
      </w:pPr>
      <w:r>
        <w:t>Г. ВОЛГОГРАД, ЦЕНТРАЛЬНЫЙ РАЙОН, УЛ. СОВЕТСКАЯ, 4А</w:t>
      </w:r>
    </w:p>
    <w:p w14:paraId="0E4071BD" w14:textId="77777777" w:rsidR="00BB041C" w:rsidRDefault="00BB041C">
      <w:pPr>
        <w:pStyle w:val="ConsPlusNormal"/>
        <w:jc w:val="both"/>
      </w:pPr>
    </w:p>
    <w:p w14:paraId="59582305" w14:textId="77777777" w:rsidR="00BB041C" w:rsidRDefault="00BB041C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>
        <w:r>
          <w:rPr>
            <w:color w:val="0000FF"/>
          </w:rPr>
          <w:t>законом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Федерации", </w:t>
      </w:r>
      <w:hyperlink r:id="rId6">
        <w:r>
          <w:rPr>
            <w:color w:val="0000FF"/>
          </w:rPr>
          <w:t>Порядком</w:t>
        </w:r>
      </w:hyperlink>
      <w:r>
        <w:t xml:space="preserve"> определения предмета охраны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 в соответствии со статьей 64 Федерального закона от 25 июня 2002 г. N 73-ФЗ "Об объектах культурного наследия (памятниках истории и культуры) народов Российской Федерации", утвержденным приказом Министерства культуры Российской Федерации от 13 января 2016 г. N 28, </w:t>
      </w:r>
      <w:hyperlink r:id="rId7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14:paraId="25445BF9" w14:textId="77777777" w:rsidR="00BB041C" w:rsidRDefault="00BB041C">
      <w:pPr>
        <w:pStyle w:val="ConsPlusNormal"/>
        <w:spacing w:before="240"/>
        <w:ind w:firstLine="540"/>
        <w:jc w:val="both"/>
      </w:pPr>
      <w:r>
        <w:t xml:space="preserve">1. Утвердить прилагаемый </w:t>
      </w:r>
      <w:hyperlink w:anchor="P31">
        <w:r>
          <w:rPr>
            <w:color w:val="0000FF"/>
          </w:rPr>
          <w:t>предмет</w:t>
        </w:r>
      </w:hyperlink>
      <w:r>
        <w:t xml:space="preserve"> охраны объекта культурного наследия регионального значения "Жилой дом (ДСШ)", расположенного по адресу (местонахождение): Волгоградская область, г. Волгоград, Центральный район, ул. Советская, 4а.</w:t>
      </w:r>
    </w:p>
    <w:p w14:paraId="4A891B2D" w14:textId="77777777" w:rsidR="00BB041C" w:rsidRDefault="00BB041C">
      <w:pPr>
        <w:pStyle w:val="ConsPlusNormal"/>
        <w:spacing w:before="240"/>
        <w:ind w:firstLine="540"/>
        <w:jc w:val="both"/>
      </w:pPr>
      <w:r>
        <w:t>2. Настоящий приказ вступает в силу со дня его подписания и подлежит официальному опубликованию.</w:t>
      </w:r>
    </w:p>
    <w:p w14:paraId="08E45E46" w14:textId="77777777" w:rsidR="00BB041C" w:rsidRDefault="00BB041C">
      <w:pPr>
        <w:pStyle w:val="ConsPlusNormal"/>
        <w:jc w:val="both"/>
      </w:pPr>
    </w:p>
    <w:p w14:paraId="3C015D80" w14:textId="77777777" w:rsidR="00BB041C" w:rsidRDefault="00BB041C">
      <w:pPr>
        <w:pStyle w:val="ConsPlusNormal"/>
        <w:jc w:val="right"/>
      </w:pPr>
      <w:r>
        <w:t>Председатель комитета</w:t>
      </w:r>
    </w:p>
    <w:p w14:paraId="1B6CC893" w14:textId="77777777" w:rsidR="00BB041C" w:rsidRDefault="00BB041C">
      <w:pPr>
        <w:pStyle w:val="ConsPlusNormal"/>
        <w:jc w:val="right"/>
      </w:pPr>
      <w:r>
        <w:t>А.Ю.БАЖЕНОВ</w:t>
      </w:r>
    </w:p>
    <w:p w14:paraId="37577769" w14:textId="77777777" w:rsidR="00BB041C" w:rsidRDefault="00BB041C">
      <w:pPr>
        <w:pStyle w:val="ConsPlusNormal"/>
        <w:jc w:val="both"/>
      </w:pPr>
    </w:p>
    <w:p w14:paraId="318CBFFA" w14:textId="77777777" w:rsidR="00BB041C" w:rsidRDefault="00BB041C">
      <w:pPr>
        <w:pStyle w:val="ConsPlusNormal"/>
        <w:jc w:val="both"/>
      </w:pPr>
    </w:p>
    <w:p w14:paraId="7FADA292" w14:textId="77777777" w:rsidR="00BB041C" w:rsidRDefault="00BB041C">
      <w:pPr>
        <w:pStyle w:val="ConsPlusNormal"/>
        <w:jc w:val="both"/>
      </w:pPr>
    </w:p>
    <w:p w14:paraId="4342C98E" w14:textId="77777777" w:rsidR="00BB041C" w:rsidRDefault="00BB041C">
      <w:pPr>
        <w:pStyle w:val="ConsPlusNormal"/>
        <w:jc w:val="both"/>
      </w:pPr>
    </w:p>
    <w:p w14:paraId="743B12A4" w14:textId="77777777" w:rsidR="00BB041C" w:rsidRDefault="00BB041C">
      <w:pPr>
        <w:pStyle w:val="ConsPlusNormal"/>
        <w:jc w:val="both"/>
      </w:pPr>
    </w:p>
    <w:p w14:paraId="1947176A" w14:textId="77777777" w:rsidR="00BB041C" w:rsidRDefault="00BB041C">
      <w:pPr>
        <w:pStyle w:val="ConsPlusNormal"/>
        <w:jc w:val="right"/>
        <w:outlineLvl w:val="0"/>
      </w:pPr>
      <w:r>
        <w:t>Утвержден</w:t>
      </w:r>
    </w:p>
    <w:p w14:paraId="5759FE78" w14:textId="77777777" w:rsidR="00BB041C" w:rsidRDefault="00BB041C">
      <w:pPr>
        <w:pStyle w:val="ConsPlusNormal"/>
        <w:jc w:val="right"/>
      </w:pPr>
      <w:r>
        <w:t>приказом</w:t>
      </w:r>
    </w:p>
    <w:p w14:paraId="32842DF1" w14:textId="77777777" w:rsidR="00BB041C" w:rsidRDefault="00BB041C">
      <w:pPr>
        <w:pStyle w:val="ConsPlusNormal"/>
        <w:jc w:val="right"/>
      </w:pPr>
      <w:r>
        <w:t>комитета государственной</w:t>
      </w:r>
    </w:p>
    <w:p w14:paraId="13E3430E" w14:textId="77777777" w:rsidR="00BB041C" w:rsidRDefault="00BB041C">
      <w:pPr>
        <w:pStyle w:val="ConsPlusNormal"/>
        <w:jc w:val="right"/>
      </w:pPr>
      <w:r>
        <w:t>охраны объектов</w:t>
      </w:r>
    </w:p>
    <w:p w14:paraId="10903506" w14:textId="77777777" w:rsidR="00BB041C" w:rsidRDefault="00BB041C">
      <w:pPr>
        <w:pStyle w:val="ConsPlusNormal"/>
        <w:jc w:val="right"/>
      </w:pPr>
      <w:r>
        <w:t>культурного наследия</w:t>
      </w:r>
    </w:p>
    <w:p w14:paraId="074EDEDB" w14:textId="77777777" w:rsidR="00BB041C" w:rsidRDefault="00BB041C">
      <w:pPr>
        <w:pStyle w:val="ConsPlusNormal"/>
        <w:jc w:val="right"/>
      </w:pPr>
      <w:r>
        <w:t>Волгоградской области</w:t>
      </w:r>
    </w:p>
    <w:p w14:paraId="77C82975" w14:textId="77777777" w:rsidR="00BB041C" w:rsidRDefault="00BB041C">
      <w:pPr>
        <w:pStyle w:val="ConsPlusNormal"/>
        <w:jc w:val="right"/>
      </w:pPr>
      <w:r>
        <w:lastRenderedPageBreak/>
        <w:t>от 19 ноября 2025 г. N 97-н</w:t>
      </w:r>
    </w:p>
    <w:p w14:paraId="54EB6CA8" w14:textId="77777777" w:rsidR="00BB041C" w:rsidRDefault="00BB041C">
      <w:pPr>
        <w:pStyle w:val="ConsPlusNormal"/>
        <w:jc w:val="both"/>
      </w:pPr>
    </w:p>
    <w:p w14:paraId="66B44C4F" w14:textId="77777777" w:rsidR="00BB041C" w:rsidRDefault="00BB041C">
      <w:pPr>
        <w:pStyle w:val="ConsPlusTitle"/>
        <w:jc w:val="center"/>
      </w:pPr>
      <w:bookmarkStart w:id="0" w:name="P31"/>
      <w:bookmarkEnd w:id="0"/>
      <w:r>
        <w:t>ПРЕДМЕТ ОХРАНЫ ОБЪЕКТА КУЛЬТУРНОГО НАСЛЕДИЯ РЕГИОНАЛЬНОГО</w:t>
      </w:r>
    </w:p>
    <w:p w14:paraId="2DE06664" w14:textId="77777777" w:rsidR="00BB041C" w:rsidRDefault="00BB041C">
      <w:pPr>
        <w:pStyle w:val="ConsPlusTitle"/>
        <w:jc w:val="center"/>
      </w:pPr>
      <w:r>
        <w:t>ЗНАЧЕНИЯ "ЖИЛОЙ ДОМ (ДСШ)", РАСПОЛОЖЕННОГО ПО АДРЕСУ</w:t>
      </w:r>
    </w:p>
    <w:p w14:paraId="14C4CF31" w14:textId="77777777" w:rsidR="00BB041C" w:rsidRDefault="00BB041C">
      <w:pPr>
        <w:pStyle w:val="ConsPlusTitle"/>
        <w:jc w:val="center"/>
      </w:pPr>
      <w:r>
        <w:t>(МЕСТОНАХОЖДЕНИЕ): ВОЛГОГРАДСКАЯ ОБЛАСТЬ, Г. ВОЛГОГРАД,</w:t>
      </w:r>
    </w:p>
    <w:p w14:paraId="5D4D3B81" w14:textId="77777777" w:rsidR="00BB041C" w:rsidRDefault="00BB041C">
      <w:pPr>
        <w:pStyle w:val="ConsPlusTitle"/>
        <w:jc w:val="center"/>
      </w:pPr>
      <w:r>
        <w:t>ЦЕНТРАЛЬНЫЙ РАЙОН, УЛ. СОВЕТСКАЯ, 4А &lt;1&gt;</w:t>
      </w:r>
    </w:p>
    <w:p w14:paraId="76F0A03F" w14:textId="77777777" w:rsidR="00BB041C" w:rsidRDefault="00BB041C">
      <w:pPr>
        <w:pStyle w:val="ConsPlusNormal"/>
        <w:jc w:val="both"/>
      </w:pPr>
    </w:p>
    <w:p w14:paraId="08408FAB" w14:textId="77777777" w:rsidR="00BB041C" w:rsidRDefault="00BB041C">
      <w:pPr>
        <w:pStyle w:val="ConsPlusNormal"/>
        <w:ind w:firstLine="540"/>
        <w:jc w:val="both"/>
      </w:pPr>
      <w:r>
        <w:t>--------------------------------</w:t>
      </w:r>
    </w:p>
    <w:p w14:paraId="2FD4537C" w14:textId="77777777" w:rsidR="00BB041C" w:rsidRDefault="00BB041C">
      <w:pPr>
        <w:pStyle w:val="ConsPlusNormal"/>
        <w:spacing w:before="240"/>
        <w:ind w:firstLine="540"/>
        <w:jc w:val="both"/>
      </w:pPr>
      <w:r>
        <w:t>&lt;1&gt; Адрес (местонахождение) и наименование объекта культурного наследия указаны в соответствии с актом федерального органа охраны объектов культурного наследия о регистрации объекта культурного наследия в Едином государственном реестре объектов культурного наследия (памятников истории и культуры) народов Российской Федерации.</w:t>
      </w:r>
    </w:p>
    <w:p w14:paraId="7F939702" w14:textId="77777777" w:rsidR="00BB041C" w:rsidRDefault="00BB041C">
      <w:pPr>
        <w:pStyle w:val="ConsPlusNormal"/>
        <w:jc w:val="both"/>
      </w:pPr>
    </w:p>
    <w:p w14:paraId="5C151532" w14:textId="77777777" w:rsidR="00BB041C" w:rsidRDefault="00BB041C">
      <w:pPr>
        <w:pStyle w:val="ConsPlusNormal"/>
        <w:ind w:firstLine="540"/>
        <w:jc w:val="both"/>
      </w:pPr>
      <w:r>
        <w:t>Предметом охраны объекта культурного наследия регионального значения "Жилой дом (ДСШ)", расположенного по адресу (местонахождение): Волгоградская область, г. Волгоград, Центральный район, ул. Советская, 4а, являются:</w:t>
      </w:r>
    </w:p>
    <w:p w14:paraId="2FDB078A" w14:textId="77777777" w:rsidR="00BB041C" w:rsidRDefault="00BB041C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2269"/>
        <w:gridCol w:w="2438"/>
        <w:gridCol w:w="3742"/>
      </w:tblGrid>
      <w:tr w:rsidR="00BB041C" w14:paraId="58D896DD" w14:textId="77777777">
        <w:tc>
          <w:tcPr>
            <w:tcW w:w="567" w:type="dxa"/>
          </w:tcPr>
          <w:p w14:paraId="00BD13F3" w14:textId="77777777" w:rsidR="00BB041C" w:rsidRDefault="00BB041C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2269" w:type="dxa"/>
          </w:tcPr>
          <w:p w14:paraId="70B30A72" w14:textId="77777777" w:rsidR="00BB041C" w:rsidRDefault="00BB041C">
            <w:pPr>
              <w:pStyle w:val="ConsPlusNormal"/>
              <w:jc w:val="center"/>
            </w:pPr>
            <w:r>
              <w:t>Элементы предмета охраны</w:t>
            </w:r>
          </w:p>
        </w:tc>
        <w:tc>
          <w:tcPr>
            <w:tcW w:w="2438" w:type="dxa"/>
          </w:tcPr>
          <w:p w14:paraId="1FA4A7F6" w14:textId="77777777" w:rsidR="00BB041C" w:rsidRDefault="00BB041C">
            <w:pPr>
              <w:pStyle w:val="ConsPlusNormal"/>
              <w:jc w:val="center"/>
            </w:pPr>
            <w:r>
              <w:t>Описание элемента предмета охраны</w:t>
            </w:r>
          </w:p>
        </w:tc>
        <w:tc>
          <w:tcPr>
            <w:tcW w:w="3742" w:type="dxa"/>
          </w:tcPr>
          <w:p w14:paraId="0ACC40A4" w14:textId="77777777" w:rsidR="00BB041C" w:rsidRDefault="00BB041C">
            <w:pPr>
              <w:pStyle w:val="ConsPlusNormal"/>
              <w:jc w:val="center"/>
            </w:pPr>
            <w:r>
              <w:t>Иллюстрации</w:t>
            </w:r>
          </w:p>
        </w:tc>
      </w:tr>
      <w:tr w:rsidR="00BB041C" w14:paraId="26CC6A60" w14:textId="77777777">
        <w:tc>
          <w:tcPr>
            <w:tcW w:w="567" w:type="dxa"/>
          </w:tcPr>
          <w:p w14:paraId="08207A79" w14:textId="77777777" w:rsidR="00BB041C" w:rsidRDefault="00BB041C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2269" w:type="dxa"/>
          </w:tcPr>
          <w:p w14:paraId="610733CB" w14:textId="77777777" w:rsidR="00BB041C" w:rsidRDefault="00BB041C">
            <w:pPr>
              <w:pStyle w:val="ConsPlusNormal"/>
            </w:pPr>
            <w:r>
              <w:t>Местоположение и градостроительные характеристики</w:t>
            </w:r>
          </w:p>
        </w:tc>
        <w:tc>
          <w:tcPr>
            <w:tcW w:w="2438" w:type="dxa"/>
          </w:tcPr>
          <w:p w14:paraId="6C5AE9A8" w14:textId="77777777" w:rsidR="00BB041C" w:rsidRDefault="00BB041C">
            <w:pPr>
              <w:pStyle w:val="ConsPlusNormal"/>
            </w:pPr>
            <w:r>
              <w:t>отдельно стоящее здание в центре жилого квартала</w:t>
            </w:r>
          </w:p>
        </w:tc>
        <w:tc>
          <w:tcPr>
            <w:tcW w:w="3742" w:type="dxa"/>
          </w:tcPr>
          <w:p w14:paraId="76C2B5FC" w14:textId="77777777" w:rsidR="00BB041C" w:rsidRDefault="00BB041C">
            <w:pPr>
              <w:pStyle w:val="ConsPlusNormal"/>
              <w:jc w:val="center"/>
            </w:pPr>
            <w:r>
              <w:rPr>
                <w:noProof/>
                <w:position w:val="-196"/>
              </w:rPr>
              <w:drawing>
                <wp:inline distT="0" distB="0" distL="0" distR="0" wp14:anchorId="1793C3D8" wp14:editId="1ACCF862">
                  <wp:extent cx="2297430" cy="26466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7430" cy="2646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B041C" w14:paraId="6EB792ED" w14:textId="77777777">
        <w:tc>
          <w:tcPr>
            <w:tcW w:w="567" w:type="dxa"/>
          </w:tcPr>
          <w:p w14:paraId="0B19B906" w14:textId="77777777" w:rsidR="00BB041C" w:rsidRDefault="00BB041C">
            <w:pPr>
              <w:pStyle w:val="ConsPlusNormal"/>
              <w:jc w:val="center"/>
            </w:pPr>
            <w:r>
              <w:lastRenderedPageBreak/>
              <w:t>2.</w:t>
            </w:r>
          </w:p>
        </w:tc>
        <w:tc>
          <w:tcPr>
            <w:tcW w:w="2269" w:type="dxa"/>
          </w:tcPr>
          <w:p w14:paraId="74DBCDFA" w14:textId="77777777" w:rsidR="00BB041C" w:rsidRDefault="00BB041C">
            <w:pPr>
              <w:pStyle w:val="ConsPlusNormal"/>
            </w:pPr>
            <w:r>
              <w:t>Объемно-пространственная композиция здания (в границах исторической части здания начала XX века)</w:t>
            </w:r>
          </w:p>
        </w:tc>
        <w:tc>
          <w:tcPr>
            <w:tcW w:w="2438" w:type="dxa"/>
          </w:tcPr>
          <w:p w14:paraId="2F79F5DE" w14:textId="77777777" w:rsidR="00BB041C" w:rsidRDefault="00BB041C">
            <w:pPr>
              <w:pStyle w:val="ConsPlusNormal"/>
            </w:pPr>
            <w:r>
              <w:t>прямоугольное в плане 2-этажное здание с подвалом</w:t>
            </w:r>
          </w:p>
        </w:tc>
        <w:tc>
          <w:tcPr>
            <w:tcW w:w="3742" w:type="dxa"/>
          </w:tcPr>
          <w:p w14:paraId="74DA1DD6" w14:textId="77777777" w:rsidR="00BB041C" w:rsidRDefault="00BB041C">
            <w:pPr>
              <w:pStyle w:val="ConsPlusNormal"/>
              <w:jc w:val="center"/>
            </w:pPr>
            <w:r>
              <w:rPr>
                <w:noProof/>
                <w:position w:val="-263"/>
              </w:rPr>
              <w:drawing>
                <wp:inline distT="0" distB="0" distL="0" distR="0" wp14:anchorId="446182F2" wp14:editId="6BE9525B">
                  <wp:extent cx="2297430" cy="3497580"/>
                  <wp:effectExtent l="0" t="0" r="0" b="0"/>
                  <wp:docPr id="1325547368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7430" cy="3497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B041C" w14:paraId="72A21A67" w14:textId="77777777">
        <w:tc>
          <w:tcPr>
            <w:tcW w:w="567" w:type="dxa"/>
          </w:tcPr>
          <w:p w14:paraId="138C756D" w14:textId="77777777" w:rsidR="00BB041C" w:rsidRDefault="00BB041C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2269" w:type="dxa"/>
          </w:tcPr>
          <w:p w14:paraId="0E819CA9" w14:textId="77777777" w:rsidR="00BB041C" w:rsidRDefault="00BB041C">
            <w:pPr>
              <w:pStyle w:val="ConsPlusNormal"/>
            </w:pPr>
            <w:r>
              <w:t>Композиционное и архитектурно-художественное оформление юго-восточного фасада (в границах исторической части здания начала XX века)</w:t>
            </w:r>
          </w:p>
        </w:tc>
        <w:tc>
          <w:tcPr>
            <w:tcW w:w="2438" w:type="dxa"/>
          </w:tcPr>
          <w:p w14:paraId="1D63AC81" w14:textId="77777777" w:rsidR="00BB041C" w:rsidRDefault="00BB041C">
            <w:pPr>
              <w:pStyle w:val="ConsPlusNormal"/>
            </w:pPr>
            <w:r>
              <w:t>характер, ритм и размер вертикального и горизонтального членения фасада в 5 световых осей, его декоративное убранство, включающее следующие элементы:</w:t>
            </w:r>
          </w:p>
          <w:p w14:paraId="13DD91AE" w14:textId="77777777" w:rsidR="00BB041C" w:rsidRDefault="00BB041C">
            <w:pPr>
              <w:pStyle w:val="ConsPlusNormal"/>
            </w:pPr>
            <w:r>
              <w:t>- выступающий цоколь;</w:t>
            </w:r>
          </w:p>
          <w:p w14:paraId="362A7842" w14:textId="77777777" w:rsidR="00BB041C" w:rsidRDefault="00BB041C">
            <w:pPr>
              <w:pStyle w:val="ConsPlusNormal"/>
            </w:pPr>
            <w:r>
              <w:t>- профилированные карнизы: венчающий, межэтажный, подоконный 1-го этажа здания;</w:t>
            </w:r>
          </w:p>
          <w:p w14:paraId="165450B9" w14:textId="77777777" w:rsidR="00BB041C" w:rsidRDefault="00BB041C">
            <w:pPr>
              <w:pStyle w:val="ConsPlusNormal"/>
            </w:pPr>
            <w:r>
              <w:t>- фланкирующие лопатки</w:t>
            </w:r>
          </w:p>
        </w:tc>
        <w:tc>
          <w:tcPr>
            <w:tcW w:w="3742" w:type="dxa"/>
          </w:tcPr>
          <w:p w14:paraId="3BA98D64" w14:textId="77777777" w:rsidR="00BB041C" w:rsidRDefault="00BB041C">
            <w:pPr>
              <w:pStyle w:val="ConsPlusNormal"/>
              <w:jc w:val="center"/>
            </w:pPr>
            <w:r>
              <w:rPr>
                <w:noProof/>
                <w:position w:val="-180"/>
              </w:rPr>
              <w:drawing>
                <wp:inline distT="0" distB="0" distL="0" distR="0" wp14:anchorId="71096218" wp14:editId="1005286F">
                  <wp:extent cx="2297430" cy="2446655"/>
                  <wp:effectExtent l="0" t="0" r="0" b="0"/>
                  <wp:docPr id="605111138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7430" cy="2446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B041C" w14:paraId="04243C25" w14:textId="77777777">
        <w:tc>
          <w:tcPr>
            <w:tcW w:w="567" w:type="dxa"/>
          </w:tcPr>
          <w:p w14:paraId="4FDBE2E5" w14:textId="77777777" w:rsidR="00BB041C" w:rsidRDefault="00BB041C">
            <w:pPr>
              <w:pStyle w:val="ConsPlusNormal"/>
              <w:jc w:val="center"/>
            </w:pPr>
            <w:r>
              <w:lastRenderedPageBreak/>
              <w:t>4.</w:t>
            </w:r>
          </w:p>
        </w:tc>
        <w:tc>
          <w:tcPr>
            <w:tcW w:w="2269" w:type="dxa"/>
          </w:tcPr>
          <w:p w14:paraId="419C403C" w14:textId="77777777" w:rsidR="00BB041C" w:rsidRDefault="00BB041C">
            <w:pPr>
              <w:pStyle w:val="ConsPlusNormal"/>
            </w:pPr>
            <w:r>
              <w:t>Композиционное и архитектурно-художественное оформление юго-западного фасада (в границах исторической части здания начала XX века)</w:t>
            </w:r>
          </w:p>
        </w:tc>
        <w:tc>
          <w:tcPr>
            <w:tcW w:w="2438" w:type="dxa"/>
          </w:tcPr>
          <w:p w14:paraId="22591DDB" w14:textId="77777777" w:rsidR="00BB041C" w:rsidRDefault="00BB041C">
            <w:pPr>
              <w:pStyle w:val="ConsPlusNormal"/>
            </w:pPr>
            <w:r>
              <w:t>характер, ритм и размер вертикального и горизонтального членения фасада в 5 световых осей, его декоративное убранство, включающее следующие элементы:</w:t>
            </w:r>
          </w:p>
          <w:p w14:paraId="4FDB2F27" w14:textId="77777777" w:rsidR="00BB041C" w:rsidRDefault="00BB041C">
            <w:pPr>
              <w:pStyle w:val="ConsPlusNormal"/>
            </w:pPr>
            <w:r>
              <w:t>- выступающий цоколь;</w:t>
            </w:r>
          </w:p>
          <w:p w14:paraId="26ACC7C8" w14:textId="77777777" w:rsidR="00BB041C" w:rsidRDefault="00BB041C">
            <w:pPr>
              <w:pStyle w:val="ConsPlusNormal"/>
            </w:pPr>
            <w:r>
              <w:t>- профилированные карнизы: венчающий, межэтажный, подоконный 1-го этажа здания;</w:t>
            </w:r>
          </w:p>
          <w:p w14:paraId="4D790A9D" w14:textId="77777777" w:rsidR="00BB041C" w:rsidRDefault="00BB041C">
            <w:pPr>
              <w:pStyle w:val="ConsPlusNormal"/>
            </w:pPr>
            <w:r>
              <w:t>- фланкирующие лопатки</w:t>
            </w:r>
          </w:p>
        </w:tc>
        <w:tc>
          <w:tcPr>
            <w:tcW w:w="3742" w:type="dxa"/>
          </w:tcPr>
          <w:p w14:paraId="37990366" w14:textId="77777777" w:rsidR="00BB041C" w:rsidRDefault="00BB041C">
            <w:pPr>
              <w:pStyle w:val="ConsPlusNormal"/>
              <w:jc w:val="center"/>
            </w:pPr>
            <w:r>
              <w:rPr>
                <w:noProof/>
                <w:position w:val="-193"/>
              </w:rPr>
              <w:drawing>
                <wp:inline distT="0" distB="0" distL="0" distR="0" wp14:anchorId="30ECEB97" wp14:editId="0C16BB5A">
                  <wp:extent cx="2297430" cy="2608580"/>
                  <wp:effectExtent l="0" t="0" r="0" b="0"/>
                  <wp:docPr id="82349364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7430" cy="2608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B041C" w14:paraId="22A5E607" w14:textId="77777777">
        <w:tc>
          <w:tcPr>
            <w:tcW w:w="567" w:type="dxa"/>
          </w:tcPr>
          <w:p w14:paraId="7D2413FB" w14:textId="77777777" w:rsidR="00BB041C" w:rsidRDefault="00BB041C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2269" w:type="dxa"/>
          </w:tcPr>
          <w:p w14:paraId="6C1F7B64" w14:textId="77777777" w:rsidR="00BB041C" w:rsidRDefault="00BB041C">
            <w:pPr>
              <w:pStyle w:val="ConsPlusNormal"/>
            </w:pPr>
            <w:r>
              <w:t>Композиционное и архитектурно-художественное оформление северо-западного фасада (в границах исторической части здания начала XX века)</w:t>
            </w:r>
          </w:p>
        </w:tc>
        <w:tc>
          <w:tcPr>
            <w:tcW w:w="2438" w:type="dxa"/>
          </w:tcPr>
          <w:p w14:paraId="0ECDAB3C" w14:textId="77777777" w:rsidR="00BB041C" w:rsidRDefault="00BB041C">
            <w:pPr>
              <w:pStyle w:val="ConsPlusNormal"/>
            </w:pPr>
            <w:r>
              <w:t>характер, ритм и размер вертикального и горизонтального членения фасада в 3 световые оси, его декоративное убранство, включающее следующие элементы:</w:t>
            </w:r>
          </w:p>
          <w:p w14:paraId="032ED2AD" w14:textId="77777777" w:rsidR="00BB041C" w:rsidRDefault="00BB041C">
            <w:pPr>
              <w:pStyle w:val="ConsPlusNormal"/>
            </w:pPr>
            <w:r>
              <w:t>- выступающий цоколь;</w:t>
            </w:r>
          </w:p>
          <w:p w14:paraId="3654DAF7" w14:textId="77777777" w:rsidR="00BB041C" w:rsidRDefault="00BB041C">
            <w:pPr>
              <w:pStyle w:val="ConsPlusNormal"/>
            </w:pPr>
            <w:r>
              <w:t>- профилированные карнизы: венчающий, межэтажный, подоконный 1-го этажа здания;</w:t>
            </w:r>
          </w:p>
          <w:p w14:paraId="7060FE56" w14:textId="77777777" w:rsidR="00BB041C" w:rsidRDefault="00BB041C">
            <w:pPr>
              <w:pStyle w:val="ConsPlusNormal"/>
            </w:pPr>
            <w:r>
              <w:t>- фланкирующие лопатки</w:t>
            </w:r>
          </w:p>
        </w:tc>
        <w:tc>
          <w:tcPr>
            <w:tcW w:w="3742" w:type="dxa"/>
          </w:tcPr>
          <w:p w14:paraId="540A1A75" w14:textId="77777777" w:rsidR="00BB041C" w:rsidRDefault="00BB041C">
            <w:pPr>
              <w:pStyle w:val="ConsPlusNormal"/>
              <w:jc w:val="center"/>
            </w:pPr>
            <w:r>
              <w:rPr>
                <w:noProof/>
                <w:position w:val="-215"/>
              </w:rPr>
              <w:drawing>
                <wp:inline distT="0" distB="0" distL="0" distR="0" wp14:anchorId="5F1E27B6" wp14:editId="22E65DEA">
                  <wp:extent cx="2297430" cy="2893695"/>
                  <wp:effectExtent l="0" t="0" r="0" b="0"/>
                  <wp:docPr id="1557828134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7430" cy="2893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B041C" w14:paraId="22E7D865" w14:textId="77777777">
        <w:tc>
          <w:tcPr>
            <w:tcW w:w="567" w:type="dxa"/>
          </w:tcPr>
          <w:p w14:paraId="5176671E" w14:textId="77777777" w:rsidR="00BB041C" w:rsidRDefault="00BB041C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2269" w:type="dxa"/>
          </w:tcPr>
          <w:p w14:paraId="465EDC2A" w14:textId="77777777" w:rsidR="00BB041C" w:rsidRDefault="00BB041C">
            <w:pPr>
              <w:pStyle w:val="ConsPlusNormal"/>
            </w:pPr>
            <w:r>
              <w:t>Конструктивные элементы (в границах исторической части здания начала XX века)</w:t>
            </w:r>
          </w:p>
        </w:tc>
        <w:tc>
          <w:tcPr>
            <w:tcW w:w="2438" w:type="dxa"/>
          </w:tcPr>
          <w:p w14:paraId="4031112C" w14:textId="77777777" w:rsidR="00BB041C" w:rsidRDefault="00BB041C">
            <w:pPr>
              <w:pStyle w:val="ConsPlusNormal"/>
            </w:pPr>
            <w:r>
              <w:t>фундаменты, кирпичные стены</w:t>
            </w:r>
          </w:p>
        </w:tc>
        <w:tc>
          <w:tcPr>
            <w:tcW w:w="3742" w:type="dxa"/>
          </w:tcPr>
          <w:p w14:paraId="356C9DA0" w14:textId="77777777" w:rsidR="00BB041C" w:rsidRDefault="00BB041C">
            <w:pPr>
              <w:pStyle w:val="ConsPlusNormal"/>
            </w:pPr>
          </w:p>
        </w:tc>
      </w:tr>
    </w:tbl>
    <w:p w14:paraId="3365694B" w14:textId="77777777" w:rsidR="00BB041C" w:rsidRDefault="00BB041C">
      <w:pPr>
        <w:pStyle w:val="ConsPlusNormal"/>
        <w:jc w:val="both"/>
      </w:pPr>
    </w:p>
    <w:p w14:paraId="54852A7A" w14:textId="77777777" w:rsidR="00BB041C" w:rsidRDefault="00BB041C">
      <w:pPr>
        <w:pStyle w:val="ConsPlusNormal"/>
        <w:jc w:val="both"/>
      </w:pPr>
    </w:p>
    <w:p w14:paraId="13BB680F" w14:textId="77777777" w:rsidR="00BB041C" w:rsidRDefault="00BB041C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04995710" w14:textId="77777777" w:rsidR="00BB041C" w:rsidRDefault="00BB041C"/>
    <w:sectPr w:rsidR="00BB041C" w:rsidSect="00BB04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041C"/>
    <w:rsid w:val="004B3F43"/>
    <w:rsid w:val="00BB04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B41C9A"/>
  <w15:chartTrackingRefBased/>
  <w15:docId w15:val="{17C497D8-65D2-4F9C-9C35-96C56F22A4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B041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B041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B041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B041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B041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B041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B041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B041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B041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B041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B041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B041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B041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B041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B041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B041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B041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B041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B041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B04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B041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B041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B041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B041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B041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B041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B041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B041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B041C"/>
    <w:rPr>
      <w:b/>
      <w:bCs/>
      <w:smallCaps/>
      <w:color w:val="2F5496" w:themeColor="accent1" w:themeShade="BF"/>
      <w:spacing w:val="5"/>
    </w:rPr>
  </w:style>
  <w:style w:type="paragraph" w:customStyle="1" w:styleId="ConsPlusNormal">
    <w:name w:val="ConsPlusNormal"/>
    <w:rsid w:val="00BB041C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BB041C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BB041C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AA67890A030768F3095519A60C0D30403DBB3D3312B869C0009E338CE7AF76A8838D184C2EEEAEC2310324AE403BA079CE056C05490325CAC256C771Z6f5I" TargetMode="External"/><Relationship Id="rId12" Type="http://schemas.openxmlformats.org/officeDocument/2006/relationships/image" Target="media/image5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AA67890A030768F3095507AB1A616F453FB0613812B062915ACB35DBB8FF70FDC3CD1E196DAAA3C2310870FE0465F928834E60075E1F24CAZDf9I" TargetMode="External"/><Relationship Id="rId11" Type="http://schemas.openxmlformats.org/officeDocument/2006/relationships/image" Target="media/image4.png"/><Relationship Id="rId5" Type="http://schemas.openxmlformats.org/officeDocument/2006/relationships/hyperlink" Target="consultantplus://offline/ref=AA67890A030768F3095507AB1A616F4539B9603F19B062915ACB35DBB8FF70FDD1CD46156DA3BDC2331D26AF42Z3f5I" TargetMode="External"/><Relationship Id="rId10" Type="http://schemas.openxmlformats.org/officeDocument/2006/relationships/image" Target="media/image3.png"/><Relationship Id="rId4" Type="http://schemas.openxmlformats.org/officeDocument/2006/relationships/hyperlink" Target="https://www.consultant.ru" TargetMode="Externa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756</Words>
  <Characters>4315</Characters>
  <Application>Microsoft Office Word</Application>
  <DocSecurity>0</DocSecurity>
  <Lines>35</Lines>
  <Paragraphs>10</Paragraphs>
  <ScaleCrop>false</ScaleCrop>
  <Company/>
  <LinksUpToDate>false</LinksUpToDate>
  <CharactersWithSpaces>5061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888</dc:creator>
  <cp:keywords/>
  <dc:description/>
  <cp:lastModifiedBy>888</cp:lastModifiedBy>
  <cp:revision>1</cp:revision>
  <dcterms:created xsi:type="dcterms:W3CDTF">2025-12-09T08:31:00Z</dcterms:created>
  <dcterms:modified xsi:type="dcterms:W3CDTF">2025-12-09T08:32:00Z</dcterms:modified>
</cp:coreProperties>
</file>