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1AA5B0" w14:textId="26C4D234" w:rsidR="00AD71DD" w:rsidRDefault="00AD71DD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AD71DD">
        <w:t>Приказ комитета государственной охраны объектов культурного наследия Волгоградской обл. от 02.04.2024 N 93-од "Об утверждении предмета охраны объекта культурного наследия регионального значения "Жилой дом (Детский сад N 44)", расположенного по адресу (местонахождение): Волгоградская область, г. Волгоград, Центральный район, ул. Новороссийская, 28"</w:t>
      </w:r>
    </w:p>
    <w:p w14:paraId="505303BD" w14:textId="77777777" w:rsidR="00AD71DD" w:rsidRDefault="00AD71DD">
      <w:pPr>
        <w:pStyle w:val="ConsPlusNormal"/>
        <w:jc w:val="both"/>
        <w:outlineLvl w:val="0"/>
      </w:pPr>
    </w:p>
    <w:p w14:paraId="1BC34959" w14:textId="77777777" w:rsidR="00AD71DD" w:rsidRDefault="00AD71DD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2DE18D16" w14:textId="77777777" w:rsidR="00AD71DD" w:rsidRDefault="00AD71DD">
      <w:pPr>
        <w:pStyle w:val="ConsPlusTitle"/>
        <w:jc w:val="center"/>
      </w:pPr>
      <w:r>
        <w:t>КУЛЬТУРНОГО НАСЛЕДИЯ ВОЛГОГРАДСКОЙ ОБЛАСТИ</w:t>
      </w:r>
    </w:p>
    <w:p w14:paraId="40EE4FD9" w14:textId="77777777" w:rsidR="00AD71DD" w:rsidRDefault="00AD71DD">
      <w:pPr>
        <w:pStyle w:val="ConsPlusTitle"/>
        <w:jc w:val="both"/>
      </w:pPr>
    </w:p>
    <w:p w14:paraId="1179FCEB" w14:textId="77777777" w:rsidR="00AD71DD" w:rsidRDefault="00AD71DD">
      <w:pPr>
        <w:pStyle w:val="ConsPlusTitle"/>
        <w:jc w:val="center"/>
      </w:pPr>
      <w:r>
        <w:t>ПРИКАЗ</w:t>
      </w:r>
    </w:p>
    <w:p w14:paraId="0FE888FC" w14:textId="77777777" w:rsidR="00AD71DD" w:rsidRDefault="00AD71DD">
      <w:pPr>
        <w:pStyle w:val="ConsPlusTitle"/>
        <w:jc w:val="center"/>
      </w:pPr>
      <w:r>
        <w:t>от 2 апреля 2024 г. N 93-од</w:t>
      </w:r>
    </w:p>
    <w:p w14:paraId="66DBD534" w14:textId="77777777" w:rsidR="00AD71DD" w:rsidRDefault="00AD71DD">
      <w:pPr>
        <w:pStyle w:val="ConsPlusTitle"/>
        <w:jc w:val="both"/>
      </w:pPr>
    </w:p>
    <w:p w14:paraId="1A8F2BCC" w14:textId="77777777" w:rsidR="00AD71DD" w:rsidRDefault="00AD71DD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018FE6E9" w14:textId="77777777" w:rsidR="00AD71DD" w:rsidRDefault="00AD71DD">
      <w:pPr>
        <w:pStyle w:val="ConsPlusTitle"/>
        <w:jc w:val="center"/>
      </w:pPr>
      <w:r>
        <w:t>РЕГИОНАЛЬНОГО ЗНАЧЕНИЯ "ЖИЛОЙ ДОМ (ДЕТСКИЙ САД N 44)",</w:t>
      </w:r>
    </w:p>
    <w:p w14:paraId="089A3C29" w14:textId="77777777" w:rsidR="00AD71DD" w:rsidRDefault="00AD71DD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20029743" w14:textId="77777777" w:rsidR="00AD71DD" w:rsidRDefault="00AD71DD">
      <w:pPr>
        <w:pStyle w:val="ConsPlusTitle"/>
        <w:jc w:val="center"/>
      </w:pPr>
      <w:r>
        <w:t>ОБЛАСТЬ, Г. ВОЛГОГРАД, ЦЕНТРАЛЬНЫЙ РАЙОН,</w:t>
      </w:r>
    </w:p>
    <w:p w14:paraId="1E71A452" w14:textId="77777777" w:rsidR="00AD71DD" w:rsidRDefault="00AD71DD">
      <w:pPr>
        <w:pStyle w:val="ConsPlusTitle"/>
        <w:jc w:val="center"/>
      </w:pPr>
      <w:r>
        <w:t>УЛ. НОВОРОССИЙСКАЯ, 28</w:t>
      </w:r>
    </w:p>
    <w:p w14:paraId="08B997C0" w14:textId="77777777" w:rsidR="00AD71DD" w:rsidRDefault="00AD71DD">
      <w:pPr>
        <w:pStyle w:val="ConsPlusNormal"/>
        <w:jc w:val="both"/>
      </w:pPr>
    </w:p>
    <w:p w14:paraId="52FF5430" w14:textId="77777777" w:rsidR="00AD71DD" w:rsidRDefault="00AD71DD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284D96CF" w14:textId="77777777" w:rsidR="00AD71DD" w:rsidRDefault="00AD71DD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2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"Жилой дом (Детский сад N 44)", расположенного по адресу (местонахождение): Волгоградская область, г. Волгоград, Центральный район, ул. Новороссийская, 28.</w:t>
      </w:r>
    </w:p>
    <w:p w14:paraId="439F4B6E" w14:textId="77777777" w:rsidR="00AD71DD" w:rsidRDefault="00AD71DD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подписания.</w:t>
      </w:r>
    </w:p>
    <w:p w14:paraId="511D98B2" w14:textId="77777777" w:rsidR="00AD71DD" w:rsidRDefault="00AD71DD">
      <w:pPr>
        <w:pStyle w:val="ConsPlusNormal"/>
        <w:jc w:val="both"/>
      </w:pPr>
    </w:p>
    <w:p w14:paraId="7777C76B" w14:textId="77777777" w:rsidR="00AD71DD" w:rsidRDefault="00AD71DD">
      <w:pPr>
        <w:pStyle w:val="ConsPlusNormal"/>
        <w:jc w:val="right"/>
      </w:pPr>
      <w:r>
        <w:t>Председатель комитета</w:t>
      </w:r>
    </w:p>
    <w:p w14:paraId="492A3D25" w14:textId="77777777" w:rsidR="00AD71DD" w:rsidRDefault="00AD71DD">
      <w:pPr>
        <w:pStyle w:val="ConsPlusNormal"/>
        <w:jc w:val="right"/>
      </w:pPr>
      <w:r>
        <w:t>А.Ю.БАЖЕНОВ</w:t>
      </w:r>
    </w:p>
    <w:p w14:paraId="74789638" w14:textId="77777777" w:rsidR="00AD71DD" w:rsidRDefault="00AD71DD">
      <w:pPr>
        <w:pStyle w:val="ConsPlusNormal"/>
        <w:jc w:val="both"/>
      </w:pPr>
    </w:p>
    <w:p w14:paraId="5127E41E" w14:textId="77777777" w:rsidR="00AD71DD" w:rsidRDefault="00AD71DD">
      <w:pPr>
        <w:pStyle w:val="ConsPlusNormal"/>
        <w:jc w:val="both"/>
      </w:pPr>
    </w:p>
    <w:p w14:paraId="026743D2" w14:textId="77777777" w:rsidR="00AD71DD" w:rsidRDefault="00AD71DD">
      <w:pPr>
        <w:pStyle w:val="ConsPlusNormal"/>
        <w:jc w:val="both"/>
      </w:pPr>
    </w:p>
    <w:p w14:paraId="4EA17880" w14:textId="77777777" w:rsidR="00AD71DD" w:rsidRDefault="00AD71DD">
      <w:pPr>
        <w:pStyle w:val="ConsPlusNormal"/>
        <w:jc w:val="both"/>
      </w:pPr>
    </w:p>
    <w:p w14:paraId="23989C99" w14:textId="77777777" w:rsidR="00AD71DD" w:rsidRDefault="00AD71DD">
      <w:pPr>
        <w:pStyle w:val="ConsPlusNormal"/>
        <w:jc w:val="both"/>
      </w:pPr>
    </w:p>
    <w:p w14:paraId="30BC58BF" w14:textId="77777777" w:rsidR="00AD71DD" w:rsidRDefault="00AD71DD">
      <w:pPr>
        <w:pStyle w:val="ConsPlusNormal"/>
        <w:jc w:val="right"/>
        <w:outlineLvl w:val="0"/>
      </w:pPr>
      <w:r>
        <w:t>Утвержден</w:t>
      </w:r>
    </w:p>
    <w:p w14:paraId="44A575F2" w14:textId="77777777" w:rsidR="00AD71DD" w:rsidRDefault="00AD71DD">
      <w:pPr>
        <w:pStyle w:val="ConsPlusNormal"/>
        <w:jc w:val="right"/>
      </w:pPr>
      <w:r>
        <w:t>приказом</w:t>
      </w:r>
    </w:p>
    <w:p w14:paraId="1AAAA799" w14:textId="77777777" w:rsidR="00AD71DD" w:rsidRDefault="00AD71DD">
      <w:pPr>
        <w:pStyle w:val="ConsPlusNormal"/>
        <w:jc w:val="right"/>
      </w:pPr>
      <w:r>
        <w:t>комитета государственной</w:t>
      </w:r>
    </w:p>
    <w:p w14:paraId="1FEC5487" w14:textId="77777777" w:rsidR="00AD71DD" w:rsidRDefault="00AD71DD">
      <w:pPr>
        <w:pStyle w:val="ConsPlusNormal"/>
        <w:jc w:val="right"/>
      </w:pPr>
      <w:r>
        <w:t>охраны объектов</w:t>
      </w:r>
    </w:p>
    <w:p w14:paraId="48737E82" w14:textId="77777777" w:rsidR="00AD71DD" w:rsidRDefault="00AD71DD">
      <w:pPr>
        <w:pStyle w:val="ConsPlusNormal"/>
        <w:jc w:val="right"/>
      </w:pPr>
      <w:r>
        <w:t>культурного наследия</w:t>
      </w:r>
    </w:p>
    <w:p w14:paraId="11C9154D" w14:textId="77777777" w:rsidR="00AD71DD" w:rsidRDefault="00AD71DD">
      <w:pPr>
        <w:pStyle w:val="ConsPlusNormal"/>
        <w:jc w:val="right"/>
      </w:pPr>
      <w:r>
        <w:t>Волгоградской области</w:t>
      </w:r>
    </w:p>
    <w:p w14:paraId="6A42D6CE" w14:textId="77777777" w:rsidR="00AD71DD" w:rsidRDefault="00AD71DD">
      <w:pPr>
        <w:pStyle w:val="ConsPlusNormal"/>
        <w:jc w:val="right"/>
      </w:pPr>
      <w:r>
        <w:t>от 02 апреля 2024 г. N 93-од</w:t>
      </w:r>
    </w:p>
    <w:p w14:paraId="213780A5" w14:textId="77777777" w:rsidR="00AD71DD" w:rsidRDefault="00AD71DD">
      <w:pPr>
        <w:pStyle w:val="ConsPlusNormal"/>
        <w:jc w:val="both"/>
      </w:pPr>
    </w:p>
    <w:p w14:paraId="694EEB51" w14:textId="77777777" w:rsidR="00AD71DD" w:rsidRDefault="00AD71DD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14:paraId="13A6772B" w14:textId="77777777" w:rsidR="00AD71DD" w:rsidRDefault="00AD71DD">
      <w:pPr>
        <w:pStyle w:val="ConsPlusTitle"/>
        <w:jc w:val="center"/>
      </w:pPr>
      <w:r>
        <w:t>ЗНАЧЕНИЯ "ЖИЛОЙ ДОМ (ДЕТСКИЙ САД N 44)", РАСПОЛОЖЕННОГО</w:t>
      </w:r>
    </w:p>
    <w:p w14:paraId="74365FF2" w14:textId="77777777" w:rsidR="00AD71DD" w:rsidRDefault="00AD71DD">
      <w:pPr>
        <w:pStyle w:val="ConsPlusTitle"/>
        <w:jc w:val="center"/>
      </w:pPr>
      <w:r>
        <w:t>ПО АДРЕСУ (МЕСТОНАХОЖДЕНИЕ): ВОЛГОГРАДСКАЯ ОБЛАСТЬ,</w:t>
      </w:r>
    </w:p>
    <w:p w14:paraId="650BB103" w14:textId="77777777" w:rsidR="00AD71DD" w:rsidRDefault="00AD71DD">
      <w:pPr>
        <w:pStyle w:val="ConsPlusTitle"/>
        <w:jc w:val="center"/>
      </w:pPr>
      <w:r>
        <w:t>Г. ВОЛГОГРАД, ЦЕНТРАЛЬНЫЙ РАЙОН, УЛ. НОВОРОССИЙСКАЯ, 28 &lt;1&gt;</w:t>
      </w:r>
    </w:p>
    <w:p w14:paraId="0C92A1BA" w14:textId="77777777" w:rsidR="00AD71DD" w:rsidRDefault="00AD71DD">
      <w:pPr>
        <w:pStyle w:val="ConsPlusNormal"/>
        <w:jc w:val="both"/>
      </w:pPr>
    </w:p>
    <w:p w14:paraId="705303AE" w14:textId="77777777" w:rsidR="00AD71DD" w:rsidRDefault="00AD71DD">
      <w:pPr>
        <w:pStyle w:val="ConsPlusNormal"/>
        <w:ind w:firstLine="540"/>
        <w:jc w:val="both"/>
      </w:pPr>
      <w:r>
        <w:t>--------------------------------</w:t>
      </w:r>
    </w:p>
    <w:p w14:paraId="3BC1235F" w14:textId="77777777" w:rsidR="00AD71DD" w:rsidRDefault="00AD71DD">
      <w:pPr>
        <w:pStyle w:val="ConsPlusNormal"/>
        <w:spacing w:before="22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7B76C268" w14:textId="77777777" w:rsidR="00AD71DD" w:rsidRDefault="00AD71DD">
      <w:pPr>
        <w:pStyle w:val="ConsPlusNormal"/>
        <w:jc w:val="both"/>
      </w:pPr>
    </w:p>
    <w:p w14:paraId="160D1A40" w14:textId="77777777" w:rsidR="00AD71DD" w:rsidRDefault="00AD71DD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"Жилой дом (Детский сад N 44)", расположенного по адресу (местонахождение): Волгоградская область, г. Волгоград, Центральный район, ул. Новороссийская, 28, являются:</w:t>
      </w:r>
    </w:p>
    <w:p w14:paraId="0FB4D681" w14:textId="77777777" w:rsidR="00AD71DD" w:rsidRDefault="00AD71D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381"/>
        <w:gridCol w:w="2324"/>
        <w:gridCol w:w="3798"/>
      </w:tblGrid>
      <w:tr w:rsidR="00AD71DD" w14:paraId="6C1D2D03" w14:textId="77777777">
        <w:tc>
          <w:tcPr>
            <w:tcW w:w="567" w:type="dxa"/>
          </w:tcPr>
          <w:p w14:paraId="2795D0C2" w14:textId="77777777" w:rsidR="00AD71DD" w:rsidRDefault="00AD71DD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381" w:type="dxa"/>
          </w:tcPr>
          <w:p w14:paraId="3976574D" w14:textId="77777777" w:rsidR="00AD71DD" w:rsidRDefault="00AD71DD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324" w:type="dxa"/>
          </w:tcPr>
          <w:p w14:paraId="0C0000FD" w14:textId="77777777" w:rsidR="00AD71DD" w:rsidRDefault="00AD71DD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798" w:type="dxa"/>
          </w:tcPr>
          <w:p w14:paraId="77329F7B" w14:textId="77777777" w:rsidR="00AD71DD" w:rsidRDefault="00AD71DD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AD71DD" w14:paraId="1EEC99EC" w14:textId="77777777">
        <w:tc>
          <w:tcPr>
            <w:tcW w:w="567" w:type="dxa"/>
          </w:tcPr>
          <w:p w14:paraId="3654CBB2" w14:textId="77777777" w:rsidR="00AD71DD" w:rsidRDefault="00AD71DD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381" w:type="dxa"/>
          </w:tcPr>
          <w:p w14:paraId="6E172C06" w14:textId="77777777" w:rsidR="00AD71DD" w:rsidRDefault="00AD71DD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324" w:type="dxa"/>
          </w:tcPr>
          <w:p w14:paraId="0A00E382" w14:textId="77777777" w:rsidR="00AD71DD" w:rsidRDefault="00AD71DD">
            <w:pPr>
              <w:pStyle w:val="ConsPlusNormal"/>
            </w:pPr>
            <w:r>
              <w:t>отдельно стоящее здание, расположенное по ул. Новороссийская, 28 в Центральном районе г. Волгограда</w:t>
            </w:r>
          </w:p>
        </w:tc>
        <w:tc>
          <w:tcPr>
            <w:tcW w:w="3798" w:type="dxa"/>
          </w:tcPr>
          <w:p w14:paraId="5F24B97B" w14:textId="77777777" w:rsidR="00AD71DD" w:rsidRDefault="00AD71DD">
            <w:pPr>
              <w:pStyle w:val="ConsPlusNormal"/>
              <w:jc w:val="center"/>
            </w:pPr>
            <w:r>
              <w:rPr>
                <w:noProof/>
                <w:position w:val="-225"/>
              </w:rPr>
              <w:drawing>
                <wp:inline distT="0" distB="0" distL="0" distR="0" wp14:anchorId="4FC8546A" wp14:editId="535B3F12">
                  <wp:extent cx="2332990" cy="299847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2998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71DD" w14:paraId="30F39F9A" w14:textId="77777777">
        <w:tc>
          <w:tcPr>
            <w:tcW w:w="567" w:type="dxa"/>
          </w:tcPr>
          <w:p w14:paraId="75D9BE56" w14:textId="77777777" w:rsidR="00AD71DD" w:rsidRDefault="00AD71DD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381" w:type="dxa"/>
          </w:tcPr>
          <w:p w14:paraId="3D67CDA6" w14:textId="77777777" w:rsidR="00AD71DD" w:rsidRDefault="00AD71DD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324" w:type="dxa"/>
          </w:tcPr>
          <w:p w14:paraId="52491C11" w14:textId="77777777" w:rsidR="00AD71DD" w:rsidRDefault="00AD71DD">
            <w:pPr>
              <w:pStyle w:val="ConsPlusNormal"/>
            </w:pPr>
            <w:r>
              <w:t>2-этажное здание с подвалом и застекленной пристроенной верандой</w:t>
            </w:r>
          </w:p>
        </w:tc>
        <w:tc>
          <w:tcPr>
            <w:tcW w:w="3798" w:type="dxa"/>
          </w:tcPr>
          <w:p w14:paraId="59C68BF2" w14:textId="77777777" w:rsidR="00AD71DD" w:rsidRDefault="00AD71DD">
            <w:pPr>
              <w:pStyle w:val="ConsPlusNormal"/>
              <w:jc w:val="center"/>
            </w:pPr>
            <w:r>
              <w:rPr>
                <w:noProof/>
                <w:position w:val="-126"/>
              </w:rPr>
              <w:drawing>
                <wp:inline distT="0" distB="0" distL="0" distR="0" wp14:anchorId="6E8F8A33" wp14:editId="13B5BF9D">
                  <wp:extent cx="2332990" cy="1749425"/>
                  <wp:effectExtent l="0" t="0" r="0" b="0"/>
                  <wp:docPr id="40543190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1749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71DD" w14:paraId="615DBE20" w14:textId="77777777">
        <w:tc>
          <w:tcPr>
            <w:tcW w:w="567" w:type="dxa"/>
          </w:tcPr>
          <w:p w14:paraId="0D3EA4E0" w14:textId="77777777" w:rsidR="00AD71DD" w:rsidRDefault="00AD71DD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2381" w:type="dxa"/>
          </w:tcPr>
          <w:p w14:paraId="3747D541" w14:textId="77777777" w:rsidR="00AD71DD" w:rsidRDefault="00AD71DD">
            <w:pPr>
              <w:pStyle w:val="ConsPlusNormal"/>
            </w:pPr>
            <w:r>
              <w:t>Форма крыши</w:t>
            </w:r>
          </w:p>
        </w:tc>
        <w:tc>
          <w:tcPr>
            <w:tcW w:w="2324" w:type="dxa"/>
          </w:tcPr>
          <w:p w14:paraId="59CCFB13" w14:textId="77777777" w:rsidR="00AD71DD" w:rsidRDefault="00AD71DD">
            <w:pPr>
              <w:pStyle w:val="ConsPlusNormal"/>
            </w:pPr>
            <w:r>
              <w:t>форма крыши - вальмовая</w:t>
            </w:r>
          </w:p>
        </w:tc>
        <w:tc>
          <w:tcPr>
            <w:tcW w:w="3798" w:type="dxa"/>
          </w:tcPr>
          <w:p w14:paraId="27C8E74A" w14:textId="77777777" w:rsidR="00AD71DD" w:rsidRDefault="00AD71DD">
            <w:pPr>
              <w:pStyle w:val="ConsPlusNormal"/>
              <w:jc w:val="center"/>
            </w:pPr>
            <w:r>
              <w:rPr>
                <w:noProof/>
                <w:position w:val="-136"/>
              </w:rPr>
              <w:drawing>
                <wp:inline distT="0" distB="0" distL="0" distR="0" wp14:anchorId="3E84B1E4" wp14:editId="03A95917">
                  <wp:extent cx="2332990" cy="1873250"/>
                  <wp:effectExtent l="0" t="0" r="0" b="0"/>
                  <wp:docPr id="280855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1873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71DD" w14:paraId="7A4B90E5" w14:textId="77777777">
        <w:tc>
          <w:tcPr>
            <w:tcW w:w="567" w:type="dxa"/>
          </w:tcPr>
          <w:p w14:paraId="6453ACF6" w14:textId="77777777" w:rsidR="00AD71DD" w:rsidRDefault="00AD71DD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381" w:type="dxa"/>
          </w:tcPr>
          <w:p w14:paraId="791F4350" w14:textId="77777777" w:rsidR="00AD71DD" w:rsidRDefault="00AD71DD">
            <w:pPr>
              <w:pStyle w:val="ConsPlusNormal"/>
            </w:pPr>
            <w:r>
              <w:t>Композиционное и архитектурно-художественное оформление северо-западного (главного) фасада</w:t>
            </w:r>
          </w:p>
        </w:tc>
        <w:tc>
          <w:tcPr>
            <w:tcW w:w="2324" w:type="dxa"/>
          </w:tcPr>
          <w:p w14:paraId="3F664E1F" w14:textId="77777777" w:rsidR="00AD71DD" w:rsidRDefault="00AD71DD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52CFD10E" w14:textId="77777777" w:rsidR="00AD71DD" w:rsidRDefault="00AD71DD">
            <w:pPr>
              <w:pStyle w:val="ConsPlusNormal"/>
            </w:pPr>
            <w:r>
              <w:t>- подоконная бровка 1-го этажа здания;</w:t>
            </w:r>
          </w:p>
          <w:p w14:paraId="0993DF1B" w14:textId="77777777" w:rsidR="00AD71DD" w:rsidRDefault="00AD71DD">
            <w:pPr>
              <w:pStyle w:val="ConsPlusNormal"/>
            </w:pPr>
            <w:r>
              <w:t>- подоконная бровка, заглубленная в плоскость фасада, 2-го этажа здания;</w:t>
            </w:r>
          </w:p>
          <w:p w14:paraId="08E2BA32" w14:textId="77777777" w:rsidR="00AD71DD" w:rsidRDefault="00AD71DD">
            <w:pPr>
              <w:pStyle w:val="ConsPlusNormal"/>
            </w:pPr>
            <w:r>
              <w:t>- лопатки 1, 2-го этажей здания;</w:t>
            </w:r>
          </w:p>
          <w:p w14:paraId="7D0DCA28" w14:textId="77777777" w:rsidR="00AD71DD" w:rsidRDefault="00AD71DD">
            <w:pPr>
              <w:pStyle w:val="ConsPlusNormal"/>
            </w:pPr>
            <w:r>
              <w:t xml:space="preserve">- рамочное обрамление с прямым </w:t>
            </w:r>
            <w:proofErr w:type="spellStart"/>
            <w:r>
              <w:t>сандриком</w:t>
            </w:r>
            <w:proofErr w:type="spellEnd"/>
            <w:r>
              <w:t xml:space="preserve"> оконных проемов 1-го этажа здания;</w:t>
            </w:r>
          </w:p>
          <w:p w14:paraId="15115100" w14:textId="77777777" w:rsidR="00AD71DD" w:rsidRDefault="00AD71DD">
            <w:pPr>
              <w:pStyle w:val="ConsPlusNormal"/>
            </w:pPr>
            <w:r>
              <w:t>- межэтажный карниз;</w:t>
            </w:r>
          </w:p>
          <w:p w14:paraId="545D3933" w14:textId="77777777" w:rsidR="00AD71DD" w:rsidRDefault="00AD71DD">
            <w:pPr>
              <w:pStyle w:val="ConsPlusNormal"/>
            </w:pPr>
            <w:r>
              <w:t>- выступающий подоконный парапет 2-го этажа здания;</w:t>
            </w:r>
          </w:p>
          <w:p w14:paraId="17684F51" w14:textId="77777777" w:rsidR="00AD71DD" w:rsidRDefault="00AD71DD">
            <w:pPr>
              <w:pStyle w:val="ConsPlusNormal"/>
            </w:pPr>
            <w:r>
              <w:t>- венчающий карниз</w:t>
            </w:r>
          </w:p>
        </w:tc>
        <w:tc>
          <w:tcPr>
            <w:tcW w:w="3798" w:type="dxa"/>
          </w:tcPr>
          <w:p w14:paraId="17B79E96" w14:textId="77777777" w:rsidR="00AD71DD" w:rsidRDefault="00AD71DD">
            <w:pPr>
              <w:pStyle w:val="ConsPlusNormal"/>
              <w:jc w:val="center"/>
            </w:pPr>
            <w:r>
              <w:rPr>
                <w:noProof/>
                <w:position w:val="-121"/>
              </w:rPr>
              <w:drawing>
                <wp:inline distT="0" distB="0" distL="0" distR="0" wp14:anchorId="12CB71FE" wp14:editId="21E0DE50">
                  <wp:extent cx="2332990" cy="1678940"/>
                  <wp:effectExtent l="0" t="0" r="0" b="0"/>
                  <wp:docPr id="43208999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1678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71DD" w14:paraId="65FD629B" w14:textId="77777777">
        <w:tc>
          <w:tcPr>
            <w:tcW w:w="567" w:type="dxa"/>
          </w:tcPr>
          <w:p w14:paraId="40028811" w14:textId="77777777" w:rsidR="00AD71DD" w:rsidRDefault="00AD71DD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381" w:type="dxa"/>
          </w:tcPr>
          <w:p w14:paraId="3C2ADD27" w14:textId="77777777" w:rsidR="00AD71DD" w:rsidRDefault="00AD71DD">
            <w:pPr>
              <w:pStyle w:val="ConsPlusNormal"/>
            </w:pPr>
            <w:r>
              <w:t>Композиционное и архитектурно-художественное оформление северо-восточного и юго-западного (боковых) фасадов</w:t>
            </w:r>
          </w:p>
        </w:tc>
        <w:tc>
          <w:tcPr>
            <w:tcW w:w="2324" w:type="dxa"/>
          </w:tcPr>
          <w:p w14:paraId="5372E700" w14:textId="77777777" w:rsidR="00AD71DD" w:rsidRDefault="00AD71DD">
            <w:pPr>
              <w:pStyle w:val="ConsPlusNormal"/>
            </w:pPr>
            <w:r>
              <w:t>характер, ритм и размер вертикального и горизонтального членения фасадов, их декоративное убранство, включающее следующий элемент - венчающий карниз</w:t>
            </w:r>
          </w:p>
        </w:tc>
        <w:tc>
          <w:tcPr>
            <w:tcW w:w="3798" w:type="dxa"/>
          </w:tcPr>
          <w:p w14:paraId="7A14CFED" w14:textId="77777777" w:rsidR="00AD71DD" w:rsidRDefault="00AD71DD">
            <w:pPr>
              <w:pStyle w:val="ConsPlusNormal"/>
              <w:jc w:val="center"/>
            </w:pPr>
            <w:r>
              <w:rPr>
                <w:noProof/>
                <w:position w:val="-126"/>
              </w:rPr>
              <w:drawing>
                <wp:inline distT="0" distB="0" distL="0" distR="0" wp14:anchorId="4ABD7003" wp14:editId="607F11D5">
                  <wp:extent cx="2332990" cy="1740535"/>
                  <wp:effectExtent l="0" t="0" r="0" b="0"/>
                  <wp:docPr id="62632311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1740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79AAA4" w14:textId="77777777" w:rsidR="00AD71DD" w:rsidRDefault="00AD71DD">
            <w:pPr>
              <w:pStyle w:val="ConsPlusNormal"/>
              <w:jc w:val="center"/>
            </w:pPr>
            <w:r>
              <w:t>северо-восточный (боковой) фасад здания</w:t>
            </w:r>
          </w:p>
          <w:p w14:paraId="55940CA6" w14:textId="77777777" w:rsidR="00AD71DD" w:rsidRDefault="00AD71DD">
            <w:pPr>
              <w:pStyle w:val="ConsPlusNormal"/>
            </w:pPr>
          </w:p>
          <w:p w14:paraId="2BB6298D" w14:textId="77777777" w:rsidR="00AD71DD" w:rsidRDefault="00AD71DD">
            <w:pPr>
              <w:pStyle w:val="ConsPlusNormal"/>
              <w:jc w:val="center"/>
            </w:pPr>
            <w:r>
              <w:rPr>
                <w:noProof/>
                <w:position w:val="-126"/>
              </w:rPr>
              <w:lastRenderedPageBreak/>
              <w:drawing>
                <wp:inline distT="0" distB="0" distL="0" distR="0" wp14:anchorId="05DC040E" wp14:editId="6494413C">
                  <wp:extent cx="2332990" cy="1740535"/>
                  <wp:effectExtent l="0" t="0" r="0" b="0"/>
                  <wp:docPr id="172751006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1740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64D99F" w14:textId="77777777" w:rsidR="00AD71DD" w:rsidRDefault="00AD71DD">
            <w:pPr>
              <w:pStyle w:val="ConsPlusNormal"/>
              <w:jc w:val="center"/>
            </w:pPr>
            <w:r>
              <w:t>юго-западный (боковой) фасад здания</w:t>
            </w:r>
          </w:p>
        </w:tc>
      </w:tr>
      <w:tr w:rsidR="00AD71DD" w14:paraId="11115C87" w14:textId="77777777">
        <w:tc>
          <w:tcPr>
            <w:tcW w:w="567" w:type="dxa"/>
          </w:tcPr>
          <w:p w14:paraId="44BCB6D7" w14:textId="77777777" w:rsidR="00AD71DD" w:rsidRDefault="00AD71DD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2381" w:type="dxa"/>
          </w:tcPr>
          <w:p w14:paraId="16BF2A7A" w14:textId="77777777" w:rsidR="00AD71DD" w:rsidRDefault="00AD71DD">
            <w:pPr>
              <w:pStyle w:val="ConsPlusNormal"/>
            </w:pPr>
            <w:r>
              <w:t>Композиционное решение и архитектурно-художественное оформление ограждения</w:t>
            </w:r>
          </w:p>
        </w:tc>
        <w:tc>
          <w:tcPr>
            <w:tcW w:w="2324" w:type="dxa"/>
          </w:tcPr>
          <w:p w14:paraId="3ECD5207" w14:textId="77777777" w:rsidR="00AD71DD" w:rsidRDefault="00AD71DD">
            <w:pPr>
              <w:pStyle w:val="ConsPlusNormal"/>
            </w:pPr>
            <w:r>
              <w:t>двухстворчатые ворота и калитка, декорированные ажурной кованой решеткой</w:t>
            </w:r>
          </w:p>
        </w:tc>
        <w:tc>
          <w:tcPr>
            <w:tcW w:w="3798" w:type="dxa"/>
          </w:tcPr>
          <w:p w14:paraId="65D0A9DC" w14:textId="77777777" w:rsidR="00AD71DD" w:rsidRDefault="00AD71DD">
            <w:pPr>
              <w:pStyle w:val="ConsPlusNormal"/>
              <w:jc w:val="center"/>
            </w:pPr>
            <w:r>
              <w:rPr>
                <w:noProof/>
                <w:position w:val="-107"/>
              </w:rPr>
              <w:drawing>
                <wp:inline distT="0" distB="0" distL="0" distR="0" wp14:anchorId="269784D3" wp14:editId="1DCF46F4">
                  <wp:extent cx="2332990" cy="1510665"/>
                  <wp:effectExtent l="0" t="0" r="0" b="0"/>
                  <wp:docPr id="75327774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1510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71DD" w14:paraId="13609462" w14:textId="77777777">
        <w:tc>
          <w:tcPr>
            <w:tcW w:w="567" w:type="dxa"/>
          </w:tcPr>
          <w:p w14:paraId="62176754" w14:textId="77777777" w:rsidR="00AD71DD" w:rsidRDefault="00AD71DD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381" w:type="dxa"/>
          </w:tcPr>
          <w:p w14:paraId="36E3FBE0" w14:textId="77777777" w:rsidR="00AD71DD" w:rsidRDefault="00AD71DD">
            <w:pPr>
              <w:pStyle w:val="ConsPlusNormal"/>
            </w:pPr>
            <w:r>
              <w:t>Конструктивные элементы здания</w:t>
            </w:r>
          </w:p>
        </w:tc>
        <w:tc>
          <w:tcPr>
            <w:tcW w:w="2324" w:type="dxa"/>
          </w:tcPr>
          <w:p w14:paraId="63428B9A" w14:textId="77777777" w:rsidR="00AD71DD" w:rsidRDefault="00AD71DD">
            <w:pPr>
              <w:pStyle w:val="ConsPlusNormal"/>
            </w:pPr>
            <w:r>
              <w:t>фундаменты, несущие стены, лестница</w:t>
            </w:r>
          </w:p>
        </w:tc>
        <w:tc>
          <w:tcPr>
            <w:tcW w:w="3798" w:type="dxa"/>
          </w:tcPr>
          <w:p w14:paraId="0AF27AE0" w14:textId="77777777" w:rsidR="00AD71DD" w:rsidRDefault="00AD71DD">
            <w:pPr>
              <w:pStyle w:val="ConsPlusNormal"/>
            </w:pPr>
          </w:p>
        </w:tc>
      </w:tr>
      <w:tr w:rsidR="00AD71DD" w14:paraId="498FF4C8" w14:textId="77777777">
        <w:tc>
          <w:tcPr>
            <w:tcW w:w="567" w:type="dxa"/>
          </w:tcPr>
          <w:p w14:paraId="7B291F22" w14:textId="77777777" w:rsidR="00AD71DD" w:rsidRDefault="00AD71DD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381" w:type="dxa"/>
          </w:tcPr>
          <w:p w14:paraId="739C49A5" w14:textId="77777777" w:rsidR="00AD71DD" w:rsidRDefault="00AD71DD">
            <w:pPr>
              <w:pStyle w:val="ConsPlusNormal"/>
            </w:pPr>
            <w:r>
              <w:t>Материал и характер обработки фасадов</w:t>
            </w:r>
          </w:p>
        </w:tc>
        <w:tc>
          <w:tcPr>
            <w:tcW w:w="2324" w:type="dxa"/>
          </w:tcPr>
          <w:p w14:paraId="4DC2272B" w14:textId="77777777" w:rsidR="00AD71DD" w:rsidRDefault="00AD71DD">
            <w:pPr>
              <w:pStyle w:val="ConsPlusNormal"/>
            </w:pPr>
            <w:r>
              <w:t>кирпичная кладка стен с последующей штукатуркой и окраской</w:t>
            </w:r>
          </w:p>
        </w:tc>
        <w:tc>
          <w:tcPr>
            <w:tcW w:w="3798" w:type="dxa"/>
          </w:tcPr>
          <w:p w14:paraId="2C656993" w14:textId="77777777" w:rsidR="00AD71DD" w:rsidRDefault="00AD71DD">
            <w:pPr>
              <w:pStyle w:val="ConsPlusNormal"/>
            </w:pPr>
          </w:p>
        </w:tc>
      </w:tr>
    </w:tbl>
    <w:p w14:paraId="32AE8854" w14:textId="77777777" w:rsidR="00AD71DD" w:rsidRDefault="00AD71DD">
      <w:pPr>
        <w:pStyle w:val="ConsPlusNormal"/>
        <w:jc w:val="both"/>
      </w:pPr>
    </w:p>
    <w:p w14:paraId="6CB0D907" w14:textId="77777777" w:rsidR="00AD71DD" w:rsidRDefault="00AD71DD">
      <w:pPr>
        <w:pStyle w:val="ConsPlusNormal"/>
        <w:jc w:val="both"/>
      </w:pPr>
    </w:p>
    <w:p w14:paraId="5782CB91" w14:textId="77777777" w:rsidR="00AD71DD" w:rsidRDefault="00AD71D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042B803" w14:textId="77777777" w:rsidR="00AD71DD" w:rsidRDefault="00AD71DD"/>
    <w:sectPr w:rsidR="00AD71DD" w:rsidSect="005B4E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1DD"/>
    <w:rsid w:val="005B4E6F"/>
    <w:rsid w:val="00AD7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7C4A5"/>
  <w15:chartTrackingRefBased/>
  <w15:docId w15:val="{A8C8BE45-9C4E-4729-A235-CCF8442BB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D71D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AD71D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AD71D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F9A889110F19E9A855833F10361FF696FA65F8B9EC238428E2CE22C5E4850C1C81994800F25DC6FDC4702F9AF1FFA5DF77095BA30E0D54B13437BC1L0cAN" TargetMode="External"/><Relationship Id="rId12" Type="http://schemas.openxmlformats.org/officeDocument/2006/relationships/image" Target="media/image5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F9A889110F19E9A85582DFC150DA06C6DAD03809FCD3715D67BE47B01185694885992D54C61D16FDC4C56A9EB41A30CB43B98BF29FCD54CL0c9N" TargetMode="External"/><Relationship Id="rId11" Type="http://schemas.openxmlformats.org/officeDocument/2006/relationships/image" Target="media/image4.jpeg"/><Relationship Id="rId5" Type="http://schemas.openxmlformats.org/officeDocument/2006/relationships/hyperlink" Target="consultantplus://offline/ref=7F9A889110F19E9A85582DFC150DA06C6BAB01879DCD3715D67BE47B011856949A59CAD94C66CF6ED95900F8ADL1c0N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752</Words>
  <Characters>4290</Characters>
  <Application>Microsoft Office Word</Application>
  <DocSecurity>0</DocSecurity>
  <Lines>35</Lines>
  <Paragraphs>10</Paragraphs>
  <ScaleCrop>false</ScaleCrop>
  <Company/>
  <LinksUpToDate>false</LinksUpToDate>
  <CharactersWithSpaces>5032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2024-05-07T13:28:00Z</dcterms:created>
  <dcterms:modified xsi:type="dcterms:W3CDTF">2024-05-07T13:29:00Z</dcterms:modified>
</cp:coreProperties>
</file>