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8C0A7" w14:textId="7BA99830" w:rsidR="00DE4D82" w:rsidRDefault="00DE4D8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E4D82">
        <w:t>Приказ комитета государственной охраны объектов культурного наследия Волгоградской обл. от 22.07.2024 N 275-од "Об утверждении предмета охраны объекта культурного наследия регионального значения "Кожевенный завод Смирнова (кооператив)", расположенного по адресу (местонахождение): Волгоградская область, г. Волгоград, Советский район, ул. им. академика Палладина, 48"</w:t>
      </w:r>
    </w:p>
    <w:p w14:paraId="4D738708" w14:textId="77777777" w:rsidR="00DE4D82" w:rsidRDefault="00DE4D82">
      <w:pPr>
        <w:pStyle w:val="ConsPlusNormal"/>
        <w:jc w:val="both"/>
        <w:outlineLvl w:val="0"/>
      </w:pPr>
    </w:p>
    <w:p w14:paraId="641018DF" w14:textId="77777777" w:rsidR="00DE4D82" w:rsidRDefault="00DE4D8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897011F" w14:textId="77777777" w:rsidR="00DE4D82" w:rsidRDefault="00DE4D82">
      <w:pPr>
        <w:pStyle w:val="ConsPlusTitle"/>
        <w:jc w:val="center"/>
      </w:pPr>
      <w:r>
        <w:t>КУЛЬТУРНОГО НАСЛЕДИЯ ВОЛГОГРАДСКОЙ ОБЛАСТИ</w:t>
      </w:r>
    </w:p>
    <w:p w14:paraId="3412E17F" w14:textId="77777777" w:rsidR="00DE4D82" w:rsidRDefault="00DE4D82">
      <w:pPr>
        <w:pStyle w:val="ConsPlusTitle"/>
        <w:jc w:val="both"/>
      </w:pPr>
    </w:p>
    <w:p w14:paraId="536199CE" w14:textId="77777777" w:rsidR="00DE4D82" w:rsidRDefault="00DE4D82">
      <w:pPr>
        <w:pStyle w:val="ConsPlusTitle"/>
        <w:jc w:val="center"/>
      </w:pPr>
      <w:r>
        <w:t>ПРИКАЗ</w:t>
      </w:r>
    </w:p>
    <w:p w14:paraId="6256576A" w14:textId="77777777" w:rsidR="00DE4D82" w:rsidRDefault="00DE4D82">
      <w:pPr>
        <w:pStyle w:val="ConsPlusTitle"/>
        <w:jc w:val="center"/>
      </w:pPr>
      <w:r>
        <w:t>от 22 июля 2024 г. N 275-од</w:t>
      </w:r>
    </w:p>
    <w:p w14:paraId="256466B6" w14:textId="77777777" w:rsidR="00DE4D82" w:rsidRDefault="00DE4D82">
      <w:pPr>
        <w:pStyle w:val="ConsPlusTitle"/>
        <w:jc w:val="both"/>
      </w:pPr>
    </w:p>
    <w:p w14:paraId="17C5087F" w14:textId="77777777" w:rsidR="00DE4D82" w:rsidRDefault="00DE4D8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CE3A256" w14:textId="77777777" w:rsidR="00DE4D82" w:rsidRDefault="00DE4D82">
      <w:pPr>
        <w:pStyle w:val="ConsPlusTitle"/>
        <w:jc w:val="center"/>
      </w:pPr>
      <w:r>
        <w:t>РЕГИОНАЛЬНОГО ЗНАЧЕНИЯ "КОЖЕВЕННЫЙ ЗАВОД СМИРНОВА</w:t>
      </w:r>
    </w:p>
    <w:p w14:paraId="43D7B1E8" w14:textId="77777777" w:rsidR="00DE4D82" w:rsidRDefault="00DE4D82">
      <w:pPr>
        <w:pStyle w:val="ConsPlusTitle"/>
        <w:jc w:val="center"/>
      </w:pPr>
      <w:r>
        <w:t>(КООПЕРАТИВ)", РАСПОЛОЖЕННОГО ПО АДРЕСУ (МЕСТОНАХОЖДЕНИЕ):</w:t>
      </w:r>
    </w:p>
    <w:p w14:paraId="44D0E414" w14:textId="77777777" w:rsidR="00DE4D82" w:rsidRDefault="00DE4D82">
      <w:pPr>
        <w:pStyle w:val="ConsPlusTitle"/>
        <w:jc w:val="center"/>
      </w:pPr>
      <w:r>
        <w:t>ВОЛГОГРАДСКАЯ ОБЛАСТЬ, Г. ВОЛГОГРАД, СОВЕТСКИЙ РАЙОН,</w:t>
      </w:r>
    </w:p>
    <w:p w14:paraId="1CCAA218" w14:textId="77777777" w:rsidR="00DE4D82" w:rsidRDefault="00DE4D82">
      <w:pPr>
        <w:pStyle w:val="ConsPlusTitle"/>
        <w:jc w:val="center"/>
      </w:pPr>
      <w:r>
        <w:t>УЛ. ИМ. АКАДЕМИКА ПАЛЛАДИНА, 48</w:t>
      </w:r>
    </w:p>
    <w:p w14:paraId="24B9297E" w14:textId="77777777" w:rsidR="00DE4D82" w:rsidRDefault="00DE4D82">
      <w:pPr>
        <w:pStyle w:val="ConsPlusNormal"/>
        <w:jc w:val="both"/>
      </w:pPr>
    </w:p>
    <w:p w14:paraId="6E799825" w14:textId="77777777" w:rsidR="00DE4D82" w:rsidRDefault="00DE4D8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9CEA752" w14:textId="77777777" w:rsidR="00DE4D82" w:rsidRDefault="00DE4D8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"Кожевенный завод Смирнова (кооператив)", расположенного по адресу (местонахождение): Волгоградская область, г. Волгоград, Советский район, ул. им. академика Палладина, 48.</w:t>
      </w:r>
    </w:p>
    <w:p w14:paraId="17F5D393" w14:textId="77777777" w:rsidR="00DE4D82" w:rsidRDefault="00DE4D8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4CC27FA0" w14:textId="77777777" w:rsidR="00DE4D82" w:rsidRDefault="00DE4D82">
      <w:pPr>
        <w:pStyle w:val="ConsPlusNormal"/>
        <w:jc w:val="both"/>
      </w:pPr>
    </w:p>
    <w:p w14:paraId="5CA6F311" w14:textId="77777777" w:rsidR="00DE4D82" w:rsidRDefault="00DE4D82">
      <w:pPr>
        <w:pStyle w:val="ConsPlusNormal"/>
        <w:jc w:val="right"/>
      </w:pPr>
      <w:r>
        <w:t>Председатель комитета</w:t>
      </w:r>
    </w:p>
    <w:p w14:paraId="0BC7BA21" w14:textId="77777777" w:rsidR="00DE4D82" w:rsidRDefault="00DE4D82">
      <w:pPr>
        <w:pStyle w:val="ConsPlusNormal"/>
        <w:jc w:val="right"/>
      </w:pPr>
      <w:r>
        <w:t>А.Ю.БАЖЕНОВ</w:t>
      </w:r>
    </w:p>
    <w:p w14:paraId="083C4D7F" w14:textId="77777777" w:rsidR="00DE4D82" w:rsidRDefault="00DE4D82">
      <w:pPr>
        <w:pStyle w:val="ConsPlusNormal"/>
        <w:jc w:val="both"/>
      </w:pPr>
    </w:p>
    <w:p w14:paraId="0C75BBE2" w14:textId="77777777" w:rsidR="00DE4D82" w:rsidRDefault="00DE4D82">
      <w:pPr>
        <w:pStyle w:val="ConsPlusNormal"/>
        <w:jc w:val="both"/>
      </w:pPr>
    </w:p>
    <w:p w14:paraId="1BB5902A" w14:textId="77777777" w:rsidR="00DE4D82" w:rsidRDefault="00DE4D82">
      <w:pPr>
        <w:pStyle w:val="ConsPlusNormal"/>
        <w:jc w:val="both"/>
      </w:pPr>
    </w:p>
    <w:p w14:paraId="1F68648A" w14:textId="77777777" w:rsidR="00DE4D82" w:rsidRDefault="00DE4D82">
      <w:pPr>
        <w:pStyle w:val="ConsPlusNormal"/>
        <w:jc w:val="both"/>
      </w:pPr>
    </w:p>
    <w:p w14:paraId="02E5CE57" w14:textId="77777777" w:rsidR="00DE4D82" w:rsidRDefault="00DE4D82">
      <w:pPr>
        <w:pStyle w:val="ConsPlusNormal"/>
        <w:jc w:val="both"/>
      </w:pPr>
    </w:p>
    <w:p w14:paraId="452988AB" w14:textId="77777777" w:rsidR="00DE4D82" w:rsidRDefault="00DE4D82">
      <w:pPr>
        <w:pStyle w:val="ConsPlusNormal"/>
        <w:jc w:val="right"/>
        <w:outlineLvl w:val="0"/>
      </w:pPr>
      <w:r>
        <w:t>Утвержден</w:t>
      </w:r>
    </w:p>
    <w:p w14:paraId="656CD047" w14:textId="77777777" w:rsidR="00DE4D82" w:rsidRDefault="00DE4D82">
      <w:pPr>
        <w:pStyle w:val="ConsPlusNormal"/>
        <w:jc w:val="right"/>
      </w:pPr>
      <w:r>
        <w:t>приказом</w:t>
      </w:r>
    </w:p>
    <w:p w14:paraId="1A7F2191" w14:textId="77777777" w:rsidR="00DE4D82" w:rsidRDefault="00DE4D82">
      <w:pPr>
        <w:pStyle w:val="ConsPlusNormal"/>
        <w:jc w:val="right"/>
      </w:pPr>
      <w:r>
        <w:t>комитета государственной охраны</w:t>
      </w:r>
    </w:p>
    <w:p w14:paraId="1A376F20" w14:textId="77777777" w:rsidR="00DE4D82" w:rsidRDefault="00DE4D82">
      <w:pPr>
        <w:pStyle w:val="ConsPlusNormal"/>
        <w:jc w:val="right"/>
      </w:pPr>
      <w:r>
        <w:t>объектов культурного наследия</w:t>
      </w:r>
    </w:p>
    <w:p w14:paraId="5BAEE1FC" w14:textId="77777777" w:rsidR="00DE4D82" w:rsidRDefault="00DE4D82">
      <w:pPr>
        <w:pStyle w:val="ConsPlusNormal"/>
        <w:jc w:val="right"/>
      </w:pPr>
      <w:r>
        <w:t>Волгоградской области</w:t>
      </w:r>
    </w:p>
    <w:p w14:paraId="5F2065B3" w14:textId="77777777" w:rsidR="00DE4D82" w:rsidRDefault="00DE4D82">
      <w:pPr>
        <w:pStyle w:val="ConsPlusNormal"/>
        <w:jc w:val="right"/>
      </w:pPr>
      <w:r>
        <w:t>от 22 июля 2024 г. N 275-од</w:t>
      </w:r>
    </w:p>
    <w:p w14:paraId="78EA661B" w14:textId="77777777" w:rsidR="00DE4D82" w:rsidRDefault="00DE4D82">
      <w:pPr>
        <w:pStyle w:val="ConsPlusNormal"/>
        <w:jc w:val="both"/>
      </w:pPr>
    </w:p>
    <w:p w14:paraId="535C1118" w14:textId="77777777" w:rsidR="00DE4D82" w:rsidRDefault="00DE4D82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E08A628" w14:textId="77777777" w:rsidR="00DE4D82" w:rsidRDefault="00DE4D82">
      <w:pPr>
        <w:pStyle w:val="ConsPlusTitle"/>
        <w:jc w:val="center"/>
      </w:pPr>
      <w:r>
        <w:t>ЗНАЧЕНИЯ "КОЖЕВЕННЫЙ ЗАВОД СМИРНОВА (КООПЕРАТИВ)",</w:t>
      </w:r>
    </w:p>
    <w:p w14:paraId="7CDAF73D" w14:textId="77777777" w:rsidR="00DE4D82" w:rsidRDefault="00DE4D82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74BCD87" w14:textId="77777777" w:rsidR="00DE4D82" w:rsidRDefault="00DE4D82">
      <w:pPr>
        <w:pStyle w:val="ConsPlusTitle"/>
        <w:jc w:val="center"/>
      </w:pPr>
      <w:r>
        <w:t>ОБЛАСТЬ, Г. ВОЛГОГРАД, СОВЕТСКИЙ РАЙОН, УЛ. ИМ. АКАДЕМИКА</w:t>
      </w:r>
    </w:p>
    <w:p w14:paraId="3218A350" w14:textId="77777777" w:rsidR="00DE4D82" w:rsidRDefault="00DE4D82">
      <w:pPr>
        <w:pStyle w:val="ConsPlusTitle"/>
        <w:jc w:val="center"/>
      </w:pPr>
      <w:r>
        <w:lastRenderedPageBreak/>
        <w:t>ПАЛЛАДИНА, 48 &lt;1&gt;</w:t>
      </w:r>
    </w:p>
    <w:p w14:paraId="763E03DC" w14:textId="77777777" w:rsidR="00DE4D82" w:rsidRDefault="00DE4D82">
      <w:pPr>
        <w:pStyle w:val="ConsPlusNormal"/>
        <w:jc w:val="both"/>
      </w:pPr>
    </w:p>
    <w:p w14:paraId="4426F9EB" w14:textId="77777777" w:rsidR="00DE4D82" w:rsidRDefault="00DE4D82">
      <w:pPr>
        <w:pStyle w:val="ConsPlusNormal"/>
        <w:ind w:firstLine="540"/>
        <w:jc w:val="both"/>
      </w:pPr>
      <w:r>
        <w:t>--------------------------------</w:t>
      </w:r>
    </w:p>
    <w:p w14:paraId="264E94E6" w14:textId="77777777" w:rsidR="00DE4D82" w:rsidRDefault="00DE4D82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Единым государственным реестром объектов культурного наследия (памятников истории и культуры) народов Российской Федерации.</w:t>
      </w:r>
    </w:p>
    <w:p w14:paraId="2FB2FDF1" w14:textId="77777777" w:rsidR="00DE4D82" w:rsidRDefault="00DE4D82">
      <w:pPr>
        <w:pStyle w:val="ConsPlusNormal"/>
        <w:jc w:val="both"/>
      </w:pPr>
    </w:p>
    <w:p w14:paraId="00C4DDD9" w14:textId="77777777" w:rsidR="00DE4D82" w:rsidRDefault="00DE4D8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"Кожевенный завод Смирнова (кооператив)", расположенного по адресу (местонахождение): Волгоградская область, г. Волгоград, Советский район, ул. им. академика Палладина, 48, являются:</w:t>
      </w:r>
    </w:p>
    <w:p w14:paraId="1B7F7266" w14:textId="77777777" w:rsidR="00DE4D82" w:rsidRDefault="00DE4D82">
      <w:pPr>
        <w:pStyle w:val="ConsPlusNormal"/>
        <w:jc w:val="both"/>
      </w:pPr>
    </w:p>
    <w:p w14:paraId="03547F1D" w14:textId="77777777" w:rsidR="00DE4D82" w:rsidRDefault="00DE4D82">
      <w:pPr>
        <w:pStyle w:val="ConsPlusNormal"/>
        <w:sectPr w:rsidR="00DE4D82" w:rsidSect="00DE4D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9"/>
        <w:gridCol w:w="2835"/>
        <w:gridCol w:w="4139"/>
      </w:tblGrid>
      <w:tr w:rsidR="00DE4D82" w14:paraId="69FF64DA" w14:textId="77777777">
        <w:tc>
          <w:tcPr>
            <w:tcW w:w="567" w:type="dxa"/>
          </w:tcPr>
          <w:p w14:paraId="5B9D2229" w14:textId="77777777" w:rsidR="00DE4D82" w:rsidRDefault="00DE4D8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9" w:type="dxa"/>
          </w:tcPr>
          <w:p w14:paraId="36345DF2" w14:textId="77777777" w:rsidR="00DE4D82" w:rsidRDefault="00DE4D8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14:paraId="1204D3F3" w14:textId="77777777" w:rsidR="00DE4D82" w:rsidRDefault="00DE4D8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139" w:type="dxa"/>
          </w:tcPr>
          <w:p w14:paraId="5E43CC3F" w14:textId="77777777" w:rsidR="00DE4D82" w:rsidRDefault="00DE4D8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E4D82" w14:paraId="08AE1E8B" w14:textId="77777777">
        <w:tc>
          <w:tcPr>
            <w:tcW w:w="567" w:type="dxa"/>
          </w:tcPr>
          <w:p w14:paraId="05CCE27B" w14:textId="77777777" w:rsidR="00DE4D82" w:rsidRDefault="00DE4D8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20192FA6" w14:textId="77777777" w:rsidR="00DE4D82" w:rsidRDefault="00DE4D8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14:paraId="0145B82B" w14:textId="77777777" w:rsidR="00DE4D82" w:rsidRDefault="00DE4D82">
            <w:pPr>
              <w:pStyle w:val="ConsPlusNormal"/>
            </w:pPr>
            <w:r>
              <w:t>отдельно стоящее здание, расположенное по ул. им. академика Палладина, 48 в Советском районе г. Волгограда</w:t>
            </w:r>
          </w:p>
        </w:tc>
        <w:tc>
          <w:tcPr>
            <w:tcW w:w="4139" w:type="dxa"/>
          </w:tcPr>
          <w:p w14:paraId="6AB6FA52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294"/>
              </w:rPr>
              <w:drawing>
                <wp:inline distT="0" distB="0" distL="0" distR="0" wp14:anchorId="522E8A2F" wp14:editId="5E7811DA">
                  <wp:extent cx="2373630" cy="38823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88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D82" w14:paraId="5B74016D" w14:textId="77777777">
        <w:tc>
          <w:tcPr>
            <w:tcW w:w="567" w:type="dxa"/>
          </w:tcPr>
          <w:p w14:paraId="1AD67804" w14:textId="77777777" w:rsidR="00DE4D82" w:rsidRDefault="00DE4D82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30C6E9CD" w14:textId="77777777" w:rsidR="00DE4D82" w:rsidRDefault="00DE4D82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835" w:type="dxa"/>
          </w:tcPr>
          <w:p w14:paraId="5A0427BA" w14:textId="77777777" w:rsidR="00DE4D82" w:rsidRDefault="00DE4D82">
            <w:pPr>
              <w:pStyle w:val="ConsPlusNormal"/>
            </w:pPr>
            <w:r>
              <w:t>исторический объем отдельно стоящего прямоугольного в плане здания переменной этажности (из-за перепада рельефа местности северо-западный и северо-восточный фасады 1-этажные, юго-западный и юго-восточный фасады 2-этажные)</w:t>
            </w:r>
          </w:p>
        </w:tc>
        <w:tc>
          <w:tcPr>
            <w:tcW w:w="4139" w:type="dxa"/>
          </w:tcPr>
          <w:p w14:paraId="6C74E4A2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3F51BDCC" wp14:editId="3DEB20A3">
                  <wp:extent cx="2549525" cy="1911985"/>
                  <wp:effectExtent l="0" t="0" r="0" b="0"/>
                  <wp:docPr id="12543793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D82" w14:paraId="0B419E35" w14:textId="77777777">
        <w:tc>
          <w:tcPr>
            <w:tcW w:w="567" w:type="dxa"/>
          </w:tcPr>
          <w:p w14:paraId="0C67A611" w14:textId="77777777" w:rsidR="00DE4D82" w:rsidRDefault="00DE4D8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7F5A8A20" w14:textId="77777777" w:rsidR="00DE4D82" w:rsidRDefault="00DE4D82">
            <w:pPr>
              <w:pStyle w:val="ConsPlusNormal"/>
            </w:pPr>
            <w:r>
              <w:t>Форма крыши</w:t>
            </w:r>
          </w:p>
        </w:tc>
        <w:tc>
          <w:tcPr>
            <w:tcW w:w="2835" w:type="dxa"/>
          </w:tcPr>
          <w:p w14:paraId="4F71F76B" w14:textId="77777777" w:rsidR="00DE4D82" w:rsidRDefault="00DE4D82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4139" w:type="dxa"/>
          </w:tcPr>
          <w:p w14:paraId="622D9F35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82"/>
              </w:rPr>
              <w:drawing>
                <wp:inline distT="0" distB="0" distL="0" distR="0" wp14:anchorId="004FEBC7" wp14:editId="1514ED9D">
                  <wp:extent cx="2549525" cy="2462530"/>
                  <wp:effectExtent l="0" t="0" r="0" b="0"/>
                  <wp:docPr id="11966679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246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D82" w14:paraId="1A7CCAD5" w14:textId="77777777">
        <w:tc>
          <w:tcPr>
            <w:tcW w:w="567" w:type="dxa"/>
          </w:tcPr>
          <w:p w14:paraId="6F5F0495" w14:textId="77777777" w:rsidR="00DE4D82" w:rsidRDefault="00DE4D82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2B3FC436" w14:textId="77777777" w:rsidR="00DE4D82" w:rsidRDefault="00DE4D82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835" w:type="dxa"/>
          </w:tcPr>
          <w:p w14:paraId="48571DAA" w14:textId="77777777" w:rsidR="00DE4D82" w:rsidRDefault="00DE4D8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119D8A0" w14:textId="77777777" w:rsidR="00DE4D82" w:rsidRDefault="00DE4D82">
            <w:pPr>
              <w:pStyle w:val="ConsPlusNormal"/>
            </w:pPr>
            <w:r>
              <w:t xml:space="preserve">- пилястры на всю высоту здания с </w:t>
            </w:r>
            <w:proofErr w:type="spellStart"/>
            <w:r>
              <w:t>килевидным</w:t>
            </w:r>
            <w:proofErr w:type="spellEnd"/>
            <w:r>
              <w:t xml:space="preserve"> декоративным элементом на уровне межэтажного карниза;</w:t>
            </w:r>
          </w:p>
          <w:p w14:paraId="6798521B" w14:textId="77777777" w:rsidR="00DE4D82" w:rsidRDefault="00DE4D82">
            <w:pPr>
              <w:pStyle w:val="ConsPlusNormal"/>
            </w:pPr>
            <w:r>
              <w:t>- лучковые перемычки и лучковые сандрики оконных проемов 1-го этажа здания;</w:t>
            </w:r>
          </w:p>
          <w:p w14:paraId="5992C9CC" w14:textId="77777777" w:rsidR="00DE4D82" w:rsidRDefault="00DE4D82">
            <w:pPr>
              <w:pStyle w:val="ConsPlusNormal"/>
            </w:pPr>
            <w:r>
              <w:t>- межэтажный карниз с поребриком;</w:t>
            </w:r>
          </w:p>
          <w:p w14:paraId="6F5477D7" w14:textId="77777777" w:rsidR="00DE4D82" w:rsidRDefault="00DE4D82">
            <w:pPr>
              <w:pStyle w:val="ConsPlusNormal"/>
            </w:pPr>
            <w:r>
              <w:t>- лучковые перемычки, наличники с лучковыми сандриками, замковые камни оконных проемов 2-го этажа здания;</w:t>
            </w:r>
          </w:p>
          <w:p w14:paraId="1686600E" w14:textId="77777777" w:rsidR="00DE4D82" w:rsidRDefault="00DE4D82">
            <w:pPr>
              <w:pStyle w:val="ConsPlusNormal"/>
            </w:pPr>
            <w:r>
              <w:t>- подоконный карниз 2-го этажа здания;</w:t>
            </w:r>
          </w:p>
          <w:p w14:paraId="3C1FB0C2" w14:textId="77777777" w:rsidR="00DE4D82" w:rsidRDefault="00DE4D82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4139" w:type="dxa"/>
          </w:tcPr>
          <w:p w14:paraId="26CCDABE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89"/>
              </w:rPr>
              <w:drawing>
                <wp:inline distT="0" distB="0" distL="0" distR="0" wp14:anchorId="5EEC5BFA" wp14:editId="2C917A04">
                  <wp:extent cx="2549525" cy="1274445"/>
                  <wp:effectExtent l="0" t="0" r="0" b="0"/>
                  <wp:docPr id="3139225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27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F083D1" w14:textId="77777777" w:rsidR="00DE4D82" w:rsidRDefault="00DE4D82">
            <w:pPr>
              <w:pStyle w:val="ConsPlusNormal"/>
            </w:pPr>
          </w:p>
          <w:p w14:paraId="74FDA5C4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6402C298" wp14:editId="58F02493">
                  <wp:extent cx="2549525" cy="1911985"/>
                  <wp:effectExtent l="0" t="0" r="0" b="0"/>
                  <wp:docPr id="7540709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CD3CED" w14:textId="77777777" w:rsidR="00DE4D82" w:rsidRDefault="00DE4D82">
            <w:pPr>
              <w:pStyle w:val="ConsPlusNormal"/>
            </w:pPr>
          </w:p>
          <w:p w14:paraId="79A71926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drawing>
                <wp:inline distT="0" distB="0" distL="0" distR="0" wp14:anchorId="0FB7EFB3" wp14:editId="1E7366C5">
                  <wp:extent cx="2549525" cy="1892300"/>
                  <wp:effectExtent l="0" t="0" r="0" b="0"/>
                  <wp:docPr id="19174337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89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D82" w14:paraId="4402ACD3" w14:textId="77777777">
        <w:tc>
          <w:tcPr>
            <w:tcW w:w="567" w:type="dxa"/>
          </w:tcPr>
          <w:p w14:paraId="407E02F4" w14:textId="77777777" w:rsidR="00DE4D82" w:rsidRDefault="00DE4D82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3D441F9C" w14:textId="77777777" w:rsidR="00DE4D82" w:rsidRDefault="00DE4D82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835" w:type="dxa"/>
          </w:tcPr>
          <w:p w14:paraId="797D7CC2" w14:textId="77777777" w:rsidR="00DE4D82" w:rsidRDefault="00DE4D8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фронтон, обшитый вертикальным тесом</w:t>
            </w:r>
          </w:p>
        </w:tc>
        <w:tc>
          <w:tcPr>
            <w:tcW w:w="4139" w:type="dxa"/>
          </w:tcPr>
          <w:p w14:paraId="5E281D8E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4C3A44A5" wp14:editId="726846CE">
                  <wp:extent cx="2549525" cy="1911985"/>
                  <wp:effectExtent l="0" t="0" r="0" b="0"/>
                  <wp:docPr id="10851074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D82" w14:paraId="2D02C6F1" w14:textId="77777777">
        <w:tc>
          <w:tcPr>
            <w:tcW w:w="567" w:type="dxa"/>
          </w:tcPr>
          <w:p w14:paraId="35ACE522" w14:textId="77777777" w:rsidR="00DE4D82" w:rsidRDefault="00DE4D8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44DF11F5" w14:textId="77777777" w:rsidR="00DE4D82" w:rsidRDefault="00DE4D82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835" w:type="dxa"/>
          </w:tcPr>
          <w:p w14:paraId="3CC0BE38" w14:textId="77777777" w:rsidR="00DE4D82" w:rsidRDefault="00DE4D8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94E387E" w14:textId="77777777" w:rsidR="00DE4D82" w:rsidRDefault="00DE4D82">
            <w:pPr>
              <w:pStyle w:val="ConsPlusNormal"/>
            </w:pPr>
            <w:r>
              <w:t xml:space="preserve">- пилястры на всю высоту здания с </w:t>
            </w:r>
            <w:proofErr w:type="spellStart"/>
            <w:r>
              <w:t>килевидным</w:t>
            </w:r>
            <w:proofErr w:type="spellEnd"/>
            <w:r>
              <w:t xml:space="preserve"> декоративным элементом на уровне межэтажного карниза;</w:t>
            </w:r>
          </w:p>
          <w:p w14:paraId="58DA24EB" w14:textId="77777777" w:rsidR="00DE4D82" w:rsidRDefault="00DE4D82">
            <w:pPr>
              <w:pStyle w:val="ConsPlusNormal"/>
            </w:pPr>
            <w:r>
              <w:t>- лучковые перемычки дверных проемов 1-го этажа здания;</w:t>
            </w:r>
          </w:p>
          <w:p w14:paraId="43C741D5" w14:textId="77777777" w:rsidR="00DE4D82" w:rsidRDefault="00DE4D82">
            <w:pPr>
              <w:pStyle w:val="ConsPlusNormal"/>
            </w:pPr>
            <w:r>
              <w:t>- межэтажный карниз с поребриком;</w:t>
            </w:r>
          </w:p>
          <w:p w14:paraId="4E3568E3" w14:textId="77777777" w:rsidR="00DE4D82" w:rsidRDefault="00DE4D82">
            <w:pPr>
              <w:pStyle w:val="ConsPlusNormal"/>
            </w:pPr>
            <w:r>
              <w:t>- лучковые перемычки, наличники с лучковыми сандриками, замковые камни оконных проемов 2-го этажа здания;</w:t>
            </w:r>
          </w:p>
          <w:p w14:paraId="7205A481" w14:textId="77777777" w:rsidR="00DE4D82" w:rsidRDefault="00DE4D82">
            <w:pPr>
              <w:pStyle w:val="ConsPlusNormal"/>
            </w:pPr>
            <w:r>
              <w:lastRenderedPageBreak/>
              <w:t>- лучковая перемычка, лучковый сандрик и замковый камень оконного проема 2-го этажа здания (на левом фланге фасада);</w:t>
            </w:r>
          </w:p>
          <w:p w14:paraId="5D84D31C" w14:textId="77777777" w:rsidR="00DE4D82" w:rsidRDefault="00DE4D82">
            <w:pPr>
              <w:pStyle w:val="ConsPlusNormal"/>
            </w:pPr>
            <w:r>
              <w:t>- подоконный карниз 2-го этажа здания;</w:t>
            </w:r>
          </w:p>
          <w:p w14:paraId="4BA3C8E4" w14:textId="77777777" w:rsidR="00DE4D82" w:rsidRDefault="00DE4D82">
            <w:pPr>
              <w:pStyle w:val="ConsPlusNormal"/>
            </w:pPr>
            <w:r>
              <w:t>- венчающий карниз;</w:t>
            </w:r>
          </w:p>
          <w:p w14:paraId="655EA5FF" w14:textId="77777777" w:rsidR="00DE4D82" w:rsidRDefault="00DE4D82">
            <w:pPr>
              <w:pStyle w:val="ConsPlusNormal"/>
            </w:pPr>
            <w:r>
              <w:t>- фронтон, обшитый вертикальным тесом</w:t>
            </w:r>
          </w:p>
        </w:tc>
        <w:tc>
          <w:tcPr>
            <w:tcW w:w="4139" w:type="dxa"/>
          </w:tcPr>
          <w:p w14:paraId="7B13194D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lastRenderedPageBreak/>
              <w:drawing>
                <wp:inline distT="0" distB="0" distL="0" distR="0" wp14:anchorId="25713703" wp14:editId="03583068">
                  <wp:extent cx="2549525" cy="1767205"/>
                  <wp:effectExtent l="0" t="0" r="0" b="0"/>
                  <wp:docPr id="3791251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76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E8DDE" w14:textId="77777777" w:rsidR="00DE4D82" w:rsidRDefault="00DE4D82">
            <w:pPr>
              <w:pStyle w:val="ConsPlusNormal"/>
            </w:pPr>
          </w:p>
          <w:p w14:paraId="775550E4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6945AFBD" wp14:editId="3173DB13">
                  <wp:extent cx="2549525" cy="1795780"/>
                  <wp:effectExtent l="0" t="0" r="0" b="0"/>
                  <wp:docPr id="13435466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79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0D3377" w14:textId="77777777" w:rsidR="00DE4D82" w:rsidRDefault="00DE4D82">
            <w:pPr>
              <w:pStyle w:val="ConsPlusNormal"/>
            </w:pPr>
          </w:p>
          <w:p w14:paraId="587C20CA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44A83394" wp14:editId="03CFA024">
                  <wp:extent cx="2549525" cy="1689735"/>
                  <wp:effectExtent l="0" t="0" r="0" b="0"/>
                  <wp:docPr id="10024275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D82" w14:paraId="2498D17D" w14:textId="77777777">
        <w:tc>
          <w:tcPr>
            <w:tcW w:w="567" w:type="dxa"/>
          </w:tcPr>
          <w:p w14:paraId="5E96D20F" w14:textId="77777777" w:rsidR="00DE4D82" w:rsidRDefault="00DE4D82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5B05605D" w14:textId="77777777" w:rsidR="00DE4D82" w:rsidRDefault="00DE4D82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2835" w:type="dxa"/>
          </w:tcPr>
          <w:p w14:paraId="784EC498" w14:textId="77777777" w:rsidR="00DE4D82" w:rsidRDefault="00DE4D8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0D9023E" w14:textId="77777777" w:rsidR="00DE4D82" w:rsidRDefault="00DE4D82">
            <w:pPr>
              <w:pStyle w:val="ConsPlusNormal"/>
            </w:pPr>
            <w:r>
              <w:t>- межэтажный карниз с поребриком (на правом фланге фасада);</w:t>
            </w:r>
          </w:p>
          <w:p w14:paraId="2037C44A" w14:textId="77777777" w:rsidR="00DE4D82" w:rsidRDefault="00DE4D82">
            <w:pPr>
              <w:pStyle w:val="ConsPlusNormal"/>
            </w:pPr>
            <w:r>
              <w:t xml:space="preserve">- пилястры на всю высоту здания с </w:t>
            </w:r>
            <w:proofErr w:type="spellStart"/>
            <w:r>
              <w:t>килевидным</w:t>
            </w:r>
            <w:proofErr w:type="spellEnd"/>
            <w:r>
              <w:t xml:space="preserve"> декоративным элементом на уровне межэтажного карниза;</w:t>
            </w:r>
          </w:p>
          <w:p w14:paraId="16721477" w14:textId="77777777" w:rsidR="00DE4D82" w:rsidRDefault="00DE4D82">
            <w:pPr>
              <w:pStyle w:val="ConsPlusNormal"/>
            </w:pPr>
            <w:r>
              <w:t>- лучковые перемычки, наличники с лучковыми сандриками, замковые камни оконных проемов 2-го этажа здания;</w:t>
            </w:r>
          </w:p>
          <w:p w14:paraId="3187E672" w14:textId="77777777" w:rsidR="00DE4D82" w:rsidRDefault="00DE4D82">
            <w:pPr>
              <w:pStyle w:val="ConsPlusNormal"/>
            </w:pPr>
            <w:r>
              <w:t>- подоконный карниз 2-го этажа здания;</w:t>
            </w:r>
          </w:p>
          <w:p w14:paraId="45A07101" w14:textId="77777777" w:rsidR="00DE4D82" w:rsidRDefault="00DE4D82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4139" w:type="dxa"/>
          </w:tcPr>
          <w:p w14:paraId="371BFD6E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4F3F43B8" wp14:editId="4915BDFD">
                  <wp:extent cx="2549525" cy="1911985"/>
                  <wp:effectExtent l="0" t="0" r="0" b="0"/>
                  <wp:docPr id="16941914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D640D3" w14:textId="77777777" w:rsidR="00DE4D82" w:rsidRDefault="00DE4D82">
            <w:pPr>
              <w:pStyle w:val="ConsPlusNormal"/>
            </w:pPr>
          </w:p>
          <w:p w14:paraId="0181ACA8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lastRenderedPageBreak/>
              <w:drawing>
                <wp:inline distT="0" distB="0" distL="0" distR="0" wp14:anchorId="62266C13" wp14:editId="770CF495">
                  <wp:extent cx="2549525" cy="1911985"/>
                  <wp:effectExtent l="0" t="0" r="0" b="0"/>
                  <wp:docPr id="1151890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C95FE0" w14:textId="77777777" w:rsidR="00DE4D82" w:rsidRDefault="00DE4D82">
            <w:pPr>
              <w:pStyle w:val="ConsPlusNormal"/>
            </w:pPr>
          </w:p>
          <w:p w14:paraId="56701314" w14:textId="77777777" w:rsidR="00DE4D82" w:rsidRDefault="00DE4D82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470FF69C" wp14:editId="4A748986">
                  <wp:extent cx="2549525" cy="1911985"/>
                  <wp:effectExtent l="0" t="0" r="0" b="0"/>
                  <wp:docPr id="14465748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D82" w14:paraId="75E0445E" w14:textId="77777777">
        <w:tc>
          <w:tcPr>
            <w:tcW w:w="567" w:type="dxa"/>
          </w:tcPr>
          <w:p w14:paraId="15A97F7B" w14:textId="77777777" w:rsidR="00DE4D82" w:rsidRDefault="00DE4D82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9" w:type="dxa"/>
          </w:tcPr>
          <w:p w14:paraId="228C47B6" w14:textId="77777777" w:rsidR="00DE4D82" w:rsidRDefault="00DE4D82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835" w:type="dxa"/>
          </w:tcPr>
          <w:p w14:paraId="7AA7C32B" w14:textId="77777777" w:rsidR="00DE4D82" w:rsidRDefault="00DE4D82">
            <w:pPr>
              <w:pStyle w:val="ConsPlusNormal"/>
            </w:pPr>
            <w:r>
              <w:t>фундаменты, несущие стены</w:t>
            </w:r>
          </w:p>
        </w:tc>
        <w:tc>
          <w:tcPr>
            <w:tcW w:w="4139" w:type="dxa"/>
          </w:tcPr>
          <w:p w14:paraId="10F72F5A" w14:textId="77777777" w:rsidR="00DE4D82" w:rsidRDefault="00DE4D82">
            <w:pPr>
              <w:pStyle w:val="ConsPlusNormal"/>
            </w:pPr>
          </w:p>
        </w:tc>
      </w:tr>
      <w:tr w:rsidR="00DE4D82" w14:paraId="103343BA" w14:textId="77777777">
        <w:tc>
          <w:tcPr>
            <w:tcW w:w="567" w:type="dxa"/>
          </w:tcPr>
          <w:p w14:paraId="37ABBE96" w14:textId="77777777" w:rsidR="00DE4D82" w:rsidRDefault="00DE4D8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52BB64D2" w14:textId="77777777" w:rsidR="00DE4D82" w:rsidRDefault="00DE4D82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835" w:type="dxa"/>
          </w:tcPr>
          <w:p w14:paraId="7A17AE71" w14:textId="77777777" w:rsidR="00DE4D82" w:rsidRDefault="00DE4D82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4139" w:type="dxa"/>
          </w:tcPr>
          <w:p w14:paraId="798C234D" w14:textId="77777777" w:rsidR="00DE4D82" w:rsidRDefault="00DE4D82">
            <w:pPr>
              <w:pStyle w:val="ConsPlusNormal"/>
            </w:pPr>
          </w:p>
        </w:tc>
      </w:tr>
    </w:tbl>
    <w:p w14:paraId="19B9E8B3" w14:textId="77777777" w:rsidR="00DE4D82" w:rsidRDefault="00DE4D82">
      <w:pPr>
        <w:pStyle w:val="ConsPlusNormal"/>
        <w:jc w:val="both"/>
      </w:pPr>
    </w:p>
    <w:p w14:paraId="0C20E25D" w14:textId="77777777" w:rsidR="00DE4D82" w:rsidRDefault="00DE4D82">
      <w:pPr>
        <w:pStyle w:val="ConsPlusNormal"/>
        <w:jc w:val="both"/>
      </w:pPr>
    </w:p>
    <w:p w14:paraId="6498BA43" w14:textId="77777777" w:rsidR="00DE4D82" w:rsidRDefault="00DE4D8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675E5F" w14:textId="77777777" w:rsidR="00DE4D82" w:rsidRDefault="00DE4D82"/>
    <w:sectPr w:rsidR="00DE4D82" w:rsidSect="00DE4D82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82"/>
    <w:rsid w:val="007D34FA"/>
    <w:rsid w:val="00DE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AD51"/>
  <w15:chartTrackingRefBased/>
  <w15:docId w15:val="{E9998EAB-9F78-42EF-97C2-7A8E95E7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4D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4D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4D8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88F661D7DB6BF860FA0143E44B58A3FE6714AE275DCDD29123C10D1308AE3C49CF19FD50B71B2E7D53C4EAEC6890593C50F0C42469814FC1C1E514e2s5O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consultantplus://offline/ref=9788F661D7DB6BF860FA1F4EF22707A6FA6A4AA32458C285C974C75A4C58A869098F1FA813F31526755890BAA836C9087D1BFDCC3F758145eDsBO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9788F661D7DB6BF860FA1F4EF22707A6FC6C48A52652C285C974C75A4C58A869098F1FA813F3162E7D5890BAA836C9087D1BFDCC3F758145eDsBO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9788F661D7DB6BF860FA1F4EF22707A6FA6A4AA32458C285C974C75A4C58A8691B8F47A413F6082F754DC6EBEEe6s7O" TargetMode="Externa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2024-08-05T14:44:00Z</dcterms:created>
  <dcterms:modified xsi:type="dcterms:W3CDTF">2024-08-05T14:45:00Z</dcterms:modified>
</cp:coreProperties>
</file>