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FA5D" w14:textId="7A17FB52" w:rsidR="00CB6DC3" w:rsidRDefault="00CB6DC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B6DC3">
        <w:t>Приказ комитета государственной охраны объектов культурного наследия Волгоградской обл. от 24.06.2025 N 204-од "Об утверждении предмета охраны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11"</w:t>
      </w:r>
    </w:p>
    <w:p w14:paraId="7CE2818C" w14:textId="77777777" w:rsidR="00CB6DC3" w:rsidRDefault="00CB6DC3">
      <w:pPr>
        <w:pStyle w:val="ConsPlusNormal"/>
        <w:jc w:val="both"/>
        <w:outlineLvl w:val="0"/>
      </w:pPr>
    </w:p>
    <w:p w14:paraId="1890C7CE" w14:textId="77777777" w:rsidR="00CB6DC3" w:rsidRDefault="00CB6DC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54DEBB4" w14:textId="77777777" w:rsidR="00CB6DC3" w:rsidRDefault="00CB6DC3">
      <w:pPr>
        <w:pStyle w:val="ConsPlusTitle"/>
        <w:jc w:val="center"/>
      </w:pPr>
      <w:r>
        <w:t>КУЛЬТУРНОГО НАСЛЕДИЯ ВОЛГОГРАДСКОЙ ОБЛАСТИ</w:t>
      </w:r>
    </w:p>
    <w:p w14:paraId="1957FEE8" w14:textId="77777777" w:rsidR="00CB6DC3" w:rsidRDefault="00CB6DC3">
      <w:pPr>
        <w:pStyle w:val="ConsPlusTitle"/>
        <w:jc w:val="both"/>
      </w:pPr>
    </w:p>
    <w:p w14:paraId="5FDACBB1" w14:textId="77777777" w:rsidR="00CB6DC3" w:rsidRDefault="00CB6DC3">
      <w:pPr>
        <w:pStyle w:val="ConsPlusTitle"/>
        <w:jc w:val="center"/>
      </w:pPr>
      <w:r>
        <w:t>ПРИКАЗ</w:t>
      </w:r>
    </w:p>
    <w:p w14:paraId="67C53517" w14:textId="77777777" w:rsidR="00CB6DC3" w:rsidRDefault="00CB6DC3">
      <w:pPr>
        <w:pStyle w:val="ConsPlusTitle"/>
        <w:jc w:val="center"/>
      </w:pPr>
      <w:r>
        <w:t>от 24 июня 2025 г. N 204-од</w:t>
      </w:r>
    </w:p>
    <w:p w14:paraId="1392B3DC" w14:textId="77777777" w:rsidR="00CB6DC3" w:rsidRDefault="00CB6DC3">
      <w:pPr>
        <w:pStyle w:val="ConsPlusTitle"/>
        <w:jc w:val="both"/>
      </w:pPr>
    </w:p>
    <w:p w14:paraId="7E0AC61A" w14:textId="77777777" w:rsidR="00CB6DC3" w:rsidRDefault="00CB6DC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E5EC2B6" w14:textId="77777777" w:rsidR="00CB6DC3" w:rsidRDefault="00CB6DC3">
      <w:pPr>
        <w:pStyle w:val="ConsPlusTitle"/>
        <w:jc w:val="center"/>
      </w:pPr>
      <w:r>
        <w:t>РЕГИОНАЛЬНОГО ЗНАЧЕНИЯ "ДОМ ЖИЛОЙ", РАСПОЛОЖЕННОГО</w:t>
      </w:r>
    </w:p>
    <w:p w14:paraId="1460B648" w14:textId="77777777" w:rsidR="00CB6DC3" w:rsidRDefault="00CB6DC3">
      <w:pPr>
        <w:pStyle w:val="ConsPlusTitle"/>
        <w:jc w:val="center"/>
      </w:pPr>
      <w:r>
        <w:t>ПО АДРЕСУ: ВОЛГОГРАДСКАЯ ОБЛАСТЬ, Г. ВОЛГОГРАД, ТЕР. РАБОЧИЙ</w:t>
      </w:r>
    </w:p>
    <w:p w14:paraId="5D3DACDD" w14:textId="77777777" w:rsidR="00CB6DC3" w:rsidRDefault="00CB6DC3">
      <w:pPr>
        <w:pStyle w:val="ConsPlusTitle"/>
        <w:jc w:val="center"/>
      </w:pPr>
      <w:r>
        <w:t>ПОСЕЛОК ГОРЬКОВСКИЙ, УЛ. СТАНЦИОННАЯ, Д. 11</w:t>
      </w:r>
    </w:p>
    <w:p w14:paraId="221D89C8" w14:textId="77777777" w:rsidR="00CB6DC3" w:rsidRDefault="00CB6DC3">
      <w:pPr>
        <w:pStyle w:val="ConsPlusNormal"/>
        <w:jc w:val="both"/>
      </w:pPr>
    </w:p>
    <w:p w14:paraId="623B7BEB" w14:textId="77777777" w:rsidR="00CB6DC3" w:rsidRDefault="00CB6DC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F0DE467" w14:textId="77777777" w:rsidR="00CB6DC3" w:rsidRDefault="00CB6DC3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11.</w:t>
      </w:r>
    </w:p>
    <w:p w14:paraId="73000AD2" w14:textId="77777777" w:rsidR="00CB6DC3" w:rsidRDefault="00CB6DC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63AC1E76" w14:textId="77777777" w:rsidR="00CB6DC3" w:rsidRDefault="00CB6DC3">
      <w:pPr>
        <w:pStyle w:val="ConsPlusNormal"/>
        <w:jc w:val="both"/>
      </w:pPr>
    </w:p>
    <w:p w14:paraId="5D197E97" w14:textId="77777777" w:rsidR="00CB6DC3" w:rsidRDefault="00CB6DC3">
      <w:pPr>
        <w:pStyle w:val="ConsPlusNormal"/>
        <w:jc w:val="right"/>
      </w:pPr>
      <w:r>
        <w:t>Председатель комитета</w:t>
      </w:r>
    </w:p>
    <w:p w14:paraId="361A4C02" w14:textId="77777777" w:rsidR="00CB6DC3" w:rsidRDefault="00CB6DC3">
      <w:pPr>
        <w:pStyle w:val="ConsPlusNormal"/>
        <w:jc w:val="right"/>
      </w:pPr>
      <w:r>
        <w:t>А.Ю.БАЖЕНОВ</w:t>
      </w:r>
    </w:p>
    <w:p w14:paraId="29E2CACF" w14:textId="77777777" w:rsidR="00CB6DC3" w:rsidRDefault="00CB6DC3">
      <w:pPr>
        <w:pStyle w:val="ConsPlusNormal"/>
        <w:jc w:val="both"/>
      </w:pPr>
    </w:p>
    <w:p w14:paraId="7C8B381E" w14:textId="77777777" w:rsidR="00CB6DC3" w:rsidRDefault="00CB6DC3">
      <w:pPr>
        <w:pStyle w:val="ConsPlusNormal"/>
        <w:jc w:val="both"/>
      </w:pPr>
    </w:p>
    <w:p w14:paraId="03F4DDB3" w14:textId="77777777" w:rsidR="00CB6DC3" w:rsidRDefault="00CB6DC3">
      <w:pPr>
        <w:pStyle w:val="ConsPlusNormal"/>
        <w:jc w:val="both"/>
      </w:pPr>
    </w:p>
    <w:p w14:paraId="63E9C6CF" w14:textId="77777777" w:rsidR="00CB6DC3" w:rsidRDefault="00CB6DC3">
      <w:pPr>
        <w:pStyle w:val="ConsPlusNormal"/>
        <w:jc w:val="both"/>
      </w:pPr>
    </w:p>
    <w:p w14:paraId="1A7CE88A" w14:textId="77777777" w:rsidR="00CB6DC3" w:rsidRDefault="00CB6DC3">
      <w:pPr>
        <w:pStyle w:val="ConsPlusNormal"/>
        <w:jc w:val="both"/>
      </w:pPr>
    </w:p>
    <w:p w14:paraId="44F1BAD8" w14:textId="77777777" w:rsidR="00CB6DC3" w:rsidRDefault="00CB6DC3">
      <w:pPr>
        <w:pStyle w:val="ConsPlusNormal"/>
        <w:jc w:val="right"/>
        <w:outlineLvl w:val="0"/>
      </w:pPr>
      <w:r>
        <w:t>Утвержден</w:t>
      </w:r>
    </w:p>
    <w:p w14:paraId="0899B99A" w14:textId="77777777" w:rsidR="00CB6DC3" w:rsidRDefault="00CB6DC3">
      <w:pPr>
        <w:pStyle w:val="ConsPlusNormal"/>
        <w:jc w:val="right"/>
      </w:pPr>
      <w:r>
        <w:t>приказом</w:t>
      </w:r>
    </w:p>
    <w:p w14:paraId="0C720737" w14:textId="77777777" w:rsidR="00CB6DC3" w:rsidRDefault="00CB6DC3">
      <w:pPr>
        <w:pStyle w:val="ConsPlusNormal"/>
        <w:jc w:val="right"/>
      </w:pPr>
      <w:r>
        <w:t>комитета государственной охраны</w:t>
      </w:r>
    </w:p>
    <w:p w14:paraId="0D8B7A49" w14:textId="77777777" w:rsidR="00CB6DC3" w:rsidRDefault="00CB6DC3">
      <w:pPr>
        <w:pStyle w:val="ConsPlusNormal"/>
        <w:jc w:val="right"/>
      </w:pPr>
      <w:r>
        <w:t>объектов культурного наследия</w:t>
      </w:r>
    </w:p>
    <w:p w14:paraId="3ADF09ED" w14:textId="77777777" w:rsidR="00CB6DC3" w:rsidRDefault="00CB6DC3">
      <w:pPr>
        <w:pStyle w:val="ConsPlusNormal"/>
        <w:jc w:val="right"/>
      </w:pPr>
      <w:r>
        <w:t>Волгоградской области</w:t>
      </w:r>
    </w:p>
    <w:p w14:paraId="198CA6E9" w14:textId="77777777" w:rsidR="00CB6DC3" w:rsidRDefault="00CB6DC3">
      <w:pPr>
        <w:pStyle w:val="ConsPlusNormal"/>
        <w:jc w:val="right"/>
      </w:pPr>
      <w:r>
        <w:t>от 24 июня 2025 г. N 204-од</w:t>
      </w:r>
    </w:p>
    <w:p w14:paraId="43EBFC01" w14:textId="77777777" w:rsidR="00CB6DC3" w:rsidRDefault="00CB6DC3">
      <w:pPr>
        <w:pStyle w:val="ConsPlusNormal"/>
        <w:jc w:val="both"/>
      </w:pPr>
    </w:p>
    <w:p w14:paraId="4F2F9784" w14:textId="77777777" w:rsidR="00CB6DC3" w:rsidRDefault="00CB6DC3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6FD48508" w14:textId="77777777" w:rsidR="00CB6DC3" w:rsidRDefault="00CB6DC3">
      <w:pPr>
        <w:pStyle w:val="ConsPlusTitle"/>
        <w:jc w:val="center"/>
      </w:pPr>
      <w:r>
        <w:lastRenderedPageBreak/>
        <w:t>ЗНАЧЕНИЯ "ДОМ ЖИЛОЙ", РАСПОЛОЖЕННОГО ПО АДРЕСУ:</w:t>
      </w:r>
    </w:p>
    <w:p w14:paraId="47007B31" w14:textId="77777777" w:rsidR="00CB6DC3" w:rsidRDefault="00CB6DC3">
      <w:pPr>
        <w:pStyle w:val="ConsPlusTitle"/>
        <w:jc w:val="center"/>
      </w:pPr>
      <w:r>
        <w:t>ВОЛГОГРАДСКАЯ ОБЛАСТЬ, Г. ВОЛГОГРАД, ТЕР. РАБОЧИЙ ПОСЕЛОК</w:t>
      </w:r>
    </w:p>
    <w:p w14:paraId="7882E73B" w14:textId="77777777" w:rsidR="00CB6DC3" w:rsidRDefault="00CB6DC3">
      <w:pPr>
        <w:pStyle w:val="ConsPlusTitle"/>
        <w:jc w:val="center"/>
      </w:pPr>
      <w:r>
        <w:t>ГОРЬКОВСКИЙ, УЛ. СТАНЦИОННАЯ, Д. 11</w:t>
      </w:r>
    </w:p>
    <w:p w14:paraId="50EDB9DE" w14:textId="77777777" w:rsidR="00CB6DC3" w:rsidRDefault="00CB6DC3">
      <w:pPr>
        <w:pStyle w:val="ConsPlusNormal"/>
        <w:jc w:val="both"/>
      </w:pPr>
    </w:p>
    <w:p w14:paraId="4B00682B" w14:textId="77777777" w:rsidR="00CB6DC3" w:rsidRDefault="00CB6DC3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11, являются:</w:t>
      </w:r>
    </w:p>
    <w:p w14:paraId="69A91063" w14:textId="77777777" w:rsidR="00CB6DC3" w:rsidRDefault="00CB6DC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69"/>
        <w:gridCol w:w="2693"/>
        <w:gridCol w:w="3458"/>
      </w:tblGrid>
      <w:tr w:rsidR="00CB6DC3" w14:paraId="7100EA15" w14:textId="77777777">
        <w:tc>
          <w:tcPr>
            <w:tcW w:w="624" w:type="dxa"/>
          </w:tcPr>
          <w:p w14:paraId="15E68CD8" w14:textId="77777777" w:rsidR="00CB6DC3" w:rsidRDefault="00CB6DC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48B5FD01" w14:textId="77777777" w:rsidR="00CB6DC3" w:rsidRDefault="00CB6DC3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93" w:type="dxa"/>
          </w:tcPr>
          <w:p w14:paraId="08B7F498" w14:textId="77777777" w:rsidR="00CB6DC3" w:rsidRDefault="00CB6DC3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458" w:type="dxa"/>
          </w:tcPr>
          <w:p w14:paraId="142F2DE8" w14:textId="77777777" w:rsidR="00CB6DC3" w:rsidRDefault="00CB6DC3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CB6DC3" w14:paraId="514C06FC" w14:textId="77777777">
        <w:tc>
          <w:tcPr>
            <w:tcW w:w="624" w:type="dxa"/>
          </w:tcPr>
          <w:p w14:paraId="4B210870" w14:textId="77777777" w:rsidR="00CB6DC3" w:rsidRDefault="00CB6DC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4D4D7E3D" w14:textId="77777777" w:rsidR="00CB6DC3" w:rsidRDefault="00CB6DC3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93" w:type="dxa"/>
          </w:tcPr>
          <w:p w14:paraId="30F0C3ED" w14:textId="77777777" w:rsidR="00CB6DC3" w:rsidRDefault="00CB6DC3">
            <w:pPr>
              <w:pStyle w:val="ConsPlusNormal"/>
            </w:pPr>
            <w:r>
              <w:t>Волгоградская область, г. Волгоград, тер. Рабочий поселок Горьковский, ул. Станционная, д. 11</w:t>
            </w:r>
          </w:p>
        </w:tc>
        <w:tc>
          <w:tcPr>
            <w:tcW w:w="3458" w:type="dxa"/>
          </w:tcPr>
          <w:p w14:paraId="1F9925CE" w14:textId="77777777" w:rsidR="00CB6DC3" w:rsidRDefault="00CB6DC3">
            <w:pPr>
              <w:pStyle w:val="ConsPlusNormal"/>
              <w:jc w:val="center"/>
            </w:pPr>
            <w:r>
              <w:rPr>
                <w:noProof/>
                <w:position w:val="-169"/>
              </w:rPr>
              <w:drawing>
                <wp:inline distT="0" distB="0" distL="0" distR="0" wp14:anchorId="3514D21C" wp14:editId="7ACD5A21">
                  <wp:extent cx="2117090" cy="2301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230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6DC3" w14:paraId="3BAC4836" w14:textId="77777777">
        <w:tc>
          <w:tcPr>
            <w:tcW w:w="624" w:type="dxa"/>
          </w:tcPr>
          <w:p w14:paraId="6CB4BF65" w14:textId="77777777" w:rsidR="00CB6DC3" w:rsidRDefault="00CB6DC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6D1F7B54" w14:textId="77777777" w:rsidR="00CB6DC3" w:rsidRDefault="00CB6DC3">
            <w:pPr>
              <w:pStyle w:val="ConsPlusNormal"/>
            </w:pPr>
            <w:r>
              <w:t>Объемно-пространственная композиция объекта</w:t>
            </w:r>
          </w:p>
        </w:tc>
        <w:tc>
          <w:tcPr>
            <w:tcW w:w="2693" w:type="dxa"/>
          </w:tcPr>
          <w:p w14:paraId="6BCB263F" w14:textId="77777777" w:rsidR="00CB6DC3" w:rsidRDefault="00CB6DC3">
            <w:pPr>
              <w:pStyle w:val="ConsPlusNormal"/>
            </w:pPr>
            <w:r>
              <w:t>прямоугольное в плане 2-этажное здание с цоколем (в габаритах несущих конструкций)</w:t>
            </w:r>
          </w:p>
        </w:tc>
        <w:tc>
          <w:tcPr>
            <w:tcW w:w="3458" w:type="dxa"/>
          </w:tcPr>
          <w:p w14:paraId="6B872BE8" w14:textId="77777777" w:rsidR="00CB6DC3" w:rsidRDefault="00CB6DC3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33079BA6" wp14:editId="45EB0C4A">
                  <wp:extent cx="2117090" cy="1453515"/>
                  <wp:effectExtent l="0" t="0" r="0" b="0"/>
                  <wp:docPr id="816219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5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6DC3" w14:paraId="04F1E41B" w14:textId="77777777">
        <w:tc>
          <w:tcPr>
            <w:tcW w:w="624" w:type="dxa"/>
          </w:tcPr>
          <w:p w14:paraId="5B5B0CDE" w14:textId="77777777" w:rsidR="00CB6DC3" w:rsidRDefault="00CB6DC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4F0984E7" w14:textId="77777777" w:rsidR="00CB6DC3" w:rsidRDefault="00CB6DC3">
            <w:pPr>
              <w:pStyle w:val="ConsPlusNormal"/>
            </w:pPr>
            <w:r>
              <w:t>Композиционное и архитектурно-художественное оформление северного фасада</w:t>
            </w:r>
          </w:p>
        </w:tc>
        <w:tc>
          <w:tcPr>
            <w:tcW w:w="2693" w:type="dxa"/>
          </w:tcPr>
          <w:p w14:paraId="3B3C6D1B" w14:textId="77777777" w:rsidR="00CB6DC3" w:rsidRDefault="00CB6DC3">
            <w:pPr>
              <w:pStyle w:val="ConsPlusNormal"/>
            </w:pPr>
            <w:r>
              <w:t>характер, ритм и размер вертикального и горизонтального членения фасада в 7 световых осей, его декоративное убранство, включающее следующие элементы:</w:t>
            </w:r>
          </w:p>
          <w:p w14:paraId="183280D3" w14:textId="77777777" w:rsidR="00CB6DC3" w:rsidRDefault="00CB6DC3">
            <w:pPr>
              <w:pStyle w:val="ConsPlusNormal"/>
            </w:pPr>
            <w:r>
              <w:t>- боковые ризалиты в</w:t>
            </w:r>
          </w:p>
          <w:p w14:paraId="6484D439" w14:textId="77777777" w:rsidR="00CB6DC3" w:rsidRDefault="00CB6DC3">
            <w:pPr>
              <w:pStyle w:val="ConsPlusNormal"/>
            </w:pPr>
            <w:r>
              <w:t>2 световые оси</w:t>
            </w:r>
          </w:p>
          <w:p w14:paraId="56CE8A0A" w14:textId="77777777" w:rsidR="00CB6DC3" w:rsidRDefault="00CB6DC3">
            <w:pPr>
              <w:pStyle w:val="ConsPlusNormal"/>
            </w:pPr>
            <w:r>
              <w:t>(1, 2-я и 6, 7-я световые оси) с пилястрами;</w:t>
            </w:r>
          </w:p>
          <w:p w14:paraId="4C927AB9" w14:textId="77777777" w:rsidR="00CB6DC3" w:rsidRDefault="00CB6DC3">
            <w:pPr>
              <w:pStyle w:val="ConsPlusNormal"/>
            </w:pPr>
            <w:r>
              <w:t xml:space="preserve">- габариты оконных проемов с выступающими лучковыми </w:t>
            </w:r>
            <w:r>
              <w:lastRenderedPageBreak/>
              <w:t>перемычками и замковыми камнями;</w:t>
            </w:r>
          </w:p>
          <w:p w14:paraId="2A7AE3EC" w14:textId="77777777" w:rsidR="00CB6DC3" w:rsidRDefault="00CB6DC3">
            <w:pPr>
              <w:pStyle w:val="ConsPlusNormal"/>
            </w:pPr>
            <w:r>
              <w:t>- фриз с имитацией кронштейнов;</w:t>
            </w:r>
          </w:p>
          <w:p w14:paraId="4786B0F9" w14:textId="77777777" w:rsidR="00CB6DC3" w:rsidRDefault="00CB6DC3">
            <w:pPr>
              <w:pStyle w:val="ConsPlusNormal"/>
            </w:pPr>
            <w:r>
              <w:t>- профилированный карниз;</w:t>
            </w:r>
          </w:p>
          <w:p w14:paraId="15400AF0" w14:textId="77777777" w:rsidR="00CB6DC3" w:rsidRDefault="00CB6DC3">
            <w:pPr>
              <w:pStyle w:val="ConsPlusNormal"/>
            </w:pPr>
            <w:r>
              <w:t>- профилированные подоконные ниши</w:t>
            </w:r>
          </w:p>
          <w:p w14:paraId="54F061CB" w14:textId="77777777" w:rsidR="00CB6DC3" w:rsidRDefault="00CB6DC3">
            <w:pPr>
              <w:pStyle w:val="ConsPlusNormal"/>
            </w:pPr>
            <w:r>
              <w:t>2-го этажа здания;</w:t>
            </w:r>
          </w:p>
          <w:p w14:paraId="24E482F6" w14:textId="77777777" w:rsidR="00CB6DC3" w:rsidRDefault="00CB6DC3">
            <w:pPr>
              <w:pStyle w:val="ConsPlusNormal"/>
            </w:pPr>
            <w:r>
              <w:t>- межэтажный и межоконный пояса с поребриком</w:t>
            </w:r>
          </w:p>
        </w:tc>
        <w:tc>
          <w:tcPr>
            <w:tcW w:w="3458" w:type="dxa"/>
          </w:tcPr>
          <w:p w14:paraId="6D80E584" w14:textId="77777777" w:rsidR="00CB6DC3" w:rsidRDefault="00CB6DC3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lastRenderedPageBreak/>
              <w:drawing>
                <wp:inline distT="0" distB="0" distL="0" distR="0" wp14:anchorId="65435CAE" wp14:editId="64476B55">
                  <wp:extent cx="2117090" cy="1255395"/>
                  <wp:effectExtent l="0" t="0" r="0" b="0"/>
                  <wp:docPr id="5913123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25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6DC3" w14:paraId="626D116E" w14:textId="77777777">
        <w:tc>
          <w:tcPr>
            <w:tcW w:w="624" w:type="dxa"/>
          </w:tcPr>
          <w:p w14:paraId="4EC889B1" w14:textId="77777777" w:rsidR="00CB6DC3" w:rsidRDefault="00CB6DC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7E5739BE" w14:textId="77777777" w:rsidR="00CB6DC3" w:rsidRDefault="00CB6DC3">
            <w:pPr>
              <w:pStyle w:val="ConsPlusNormal"/>
            </w:pPr>
            <w:r>
              <w:t>Композиционное и архитектурно-художественное оформление восточного фасада</w:t>
            </w:r>
          </w:p>
        </w:tc>
        <w:tc>
          <w:tcPr>
            <w:tcW w:w="2693" w:type="dxa"/>
          </w:tcPr>
          <w:p w14:paraId="734F242F" w14:textId="77777777" w:rsidR="00CB6DC3" w:rsidRDefault="00CB6DC3">
            <w:pPr>
              <w:pStyle w:val="ConsPlusNormal"/>
            </w:pPr>
            <w:r>
              <w:t>характер, ритм и размер вертикального и горизонтального членения фасада в 3 оси ниш, его декоративное убранство, включающее следующие элементы:</w:t>
            </w:r>
          </w:p>
          <w:p w14:paraId="3E2C0A26" w14:textId="77777777" w:rsidR="00CB6DC3" w:rsidRDefault="00CB6DC3">
            <w:pPr>
              <w:pStyle w:val="ConsPlusNormal"/>
            </w:pPr>
            <w:r>
              <w:t>- глухие ниши в 3 оси, члененные пилястрами;</w:t>
            </w:r>
          </w:p>
          <w:p w14:paraId="3A8E1D03" w14:textId="77777777" w:rsidR="00CB6DC3" w:rsidRDefault="00CB6DC3">
            <w:pPr>
              <w:pStyle w:val="ConsPlusNormal"/>
            </w:pPr>
            <w:r>
              <w:t>- фриз с имитацией кронштейнов;</w:t>
            </w:r>
          </w:p>
          <w:p w14:paraId="78FBC152" w14:textId="77777777" w:rsidR="00CB6DC3" w:rsidRDefault="00CB6DC3">
            <w:pPr>
              <w:pStyle w:val="ConsPlusNormal"/>
            </w:pPr>
            <w:r>
              <w:t>- профилированный карниз;</w:t>
            </w:r>
          </w:p>
          <w:p w14:paraId="6D3460B2" w14:textId="77777777" w:rsidR="00CB6DC3" w:rsidRDefault="00CB6DC3">
            <w:pPr>
              <w:pStyle w:val="ConsPlusNormal"/>
            </w:pPr>
            <w:r>
              <w:t>- межэтажный пояс с поребриком</w:t>
            </w:r>
          </w:p>
        </w:tc>
        <w:tc>
          <w:tcPr>
            <w:tcW w:w="3458" w:type="dxa"/>
          </w:tcPr>
          <w:p w14:paraId="0D6E7AE3" w14:textId="77777777" w:rsidR="00CB6DC3" w:rsidRDefault="00CB6DC3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drawing>
                <wp:inline distT="0" distB="0" distL="0" distR="0" wp14:anchorId="22ED79D7" wp14:editId="0B67FE68">
                  <wp:extent cx="2117090" cy="1632585"/>
                  <wp:effectExtent l="0" t="0" r="0" b="0"/>
                  <wp:docPr id="9274665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6DC3" w14:paraId="13ECA0A5" w14:textId="77777777">
        <w:tc>
          <w:tcPr>
            <w:tcW w:w="624" w:type="dxa"/>
          </w:tcPr>
          <w:p w14:paraId="0D42A74B" w14:textId="77777777" w:rsidR="00CB6DC3" w:rsidRDefault="00CB6DC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5118A529" w14:textId="77777777" w:rsidR="00CB6DC3" w:rsidRDefault="00CB6DC3">
            <w:pPr>
              <w:pStyle w:val="ConsPlusNormal"/>
            </w:pPr>
            <w:r>
              <w:t>Композиционное и архитектурно-художественное оформление южного фасада</w:t>
            </w:r>
          </w:p>
        </w:tc>
        <w:tc>
          <w:tcPr>
            <w:tcW w:w="2693" w:type="dxa"/>
          </w:tcPr>
          <w:p w14:paraId="39850996" w14:textId="77777777" w:rsidR="00CB6DC3" w:rsidRDefault="00CB6DC3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следующие элементы:</w:t>
            </w:r>
          </w:p>
          <w:p w14:paraId="3FCD845A" w14:textId="77777777" w:rsidR="00CB6DC3" w:rsidRDefault="00CB6DC3">
            <w:pPr>
              <w:pStyle w:val="ConsPlusNormal"/>
            </w:pPr>
            <w:r>
              <w:t>- симметричные ризалиты, расположенные по 3, 6-й световым осям;</w:t>
            </w:r>
          </w:p>
          <w:p w14:paraId="4A5B47C3" w14:textId="77777777" w:rsidR="00CB6DC3" w:rsidRDefault="00CB6DC3">
            <w:pPr>
              <w:pStyle w:val="ConsPlusNormal"/>
            </w:pPr>
            <w:r>
              <w:t>- ризалиты фланкированы декорированными пилястрами;</w:t>
            </w:r>
          </w:p>
          <w:p w14:paraId="2ADCE03A" w14:textId="77777777" w:rsidR="00CB6DC3" w:rsidRDefault="00CB6DC3">
            <w:pPr>
              <w:pStyle w:val="ConsPlusNormal"/>
            </w:pPr>
            <w:r>
              <w:t xml:space="preserve">- габариты оконных проемов с выступающими лучковыми </w:t>
            </w:r>
            <w:r>
              <w:lastRenderedPageBreak/>
              <w:t>перемычками и замковыми камнями;</w:t>
            </w:r>
          </w:p>
          <w:p w14:paraId="7692E97C" w14:textId="77777777" w:rsidR="00CB6DC3" w:rsidRDefault="00CB6DC3">
            <w:pPr>
              <w:pStyle w:val="ConsPlusNormal"/>
            </w:pPr>
            <w:r>
              <w:t>- дверные проемы входов в здание с клинчатыми перемычками;</w:t>
            </w:r>
          </w:p>
          <w:p w14:paraId="7D1420C5" w14:textId="77777777" w:rsidR="00CB6DC3" w:rsidRDefault="00CB6DC3">
            <w:pPr>
              <w:pStyle w:val="ConsPlusNormal"/>
            </w:pPr>
            <w:r>
              <w:t>- профилированные подоконные ниши 2-го этажа здания;</w:t>
            </w:r>
          </w:p>
          <w:p w14:paraId="083A26F9" w14:textId="77777777" w:rsidR="00CB6DC3" w:rsidRDefault="00CB6DC3">
            <w:pPr>
              <w:pStyle w:val="ConsPlusNormal"/>
            </w:pPr>
            <w:r>
              <w:t>- межэтажный пояс с поребриком;</w:t>
            </w:r>
          </w:p>
          <w:p w14:paraId="39F5C63F" w14:textId="77777777" w:rsidR="00CB6DC3" w:rsidRDefault="00CB6DC3">
            <w:pPr>
              <w:pStyle w:val="ConsPlusNormal"/>
            </w:pPr>
            <w:r>
              <w:t>- фриз с имитацией кронштейнов, профилированный карниз;</w:t>
            </w:r>
          </w:p>
          <w:p w14:paraId="24C323AC" w14:textId="77777777" w:rsidR="00CB6DC3" w:rsidRDefault="00CB6DC3">
            <w:pPr>
              <w:pStyle w:val="ConsPlusNormal"/>
            </w:pPr>
            <w:r>
              <w:t>- оконные проемы лестничных клеток: вытянутые прямоугольные оконные проемы с лучковым завершением, термальные оконные проемы (циркульное завершение);</w:t>
            </w:r>
          </w:p>
          <w:p w14:paraId="6D3C4D95" w14:textId="77777777" w:rsidR="00CB6DC3" w:rsidRDefault="00CB6DC3">
            <w:pPr>
              <w:pStyle w:val="ConsPlusNormal"/>
            </w:pPr>
            <w:r>
              <w:t>- оконные проемы</w:t>
            </w:r>
          </w:p>
          <w:p w14:paraId="3D792DA3" w14:textId="77777777" w:rsidR="00CB6DC3" w:rsidRDefault="00CB6DC3">
            <w:pPr>
              <w:pStyle w:val="ConsPlusNormal"/>
            </w:pPr>
            <w:r>
              <w:t>2-го этажа здания с профилированными подоконными карнизами;</w:t>
            </w:r>
          </w:p>
          <w:p w14:paraId="6CD89E41" w14:textId="77777777" w:rsidR="00CB6DC3" w:rsidRDefault="00CB6DC3">
            <w:pPr>
              <w:pStyle w:val="ConsPlusNormal"/>
            </w:pPr>
            <w:r>
              <w:t>- межоконный пояс с поребриком</w:t>
            </w:r>
          </w:p>
        </w:tc>
        <w:tc>
          <w:tcPr>
            <w:tcW w:w="3458" w:type="dxa"/>
          </w:tcPr>
          <w:p w14:paraId="4D3C0DDC" w14:textId="77777777" w:rsidR="00CB6DC3" w:rsidRDefault="00CB6DC3">
            <w:pPr>
              <w:pStyle w:val="ConsPlusNormal"/>
              <w:jc w:val="center"/>
            </w:pPr>
            <w:r>
              <w:rPr>
                <w:noProof/>
                <w:position w:val="-95"/>
              </w:rPr>
              <w:lastRenderedPageBreak/>
              <w:drawing>
                <wp:inline distT="0" distB="0" distL="0" distR="0" wp14:anchorId="2F979255" wp14:editId="64D58358">
                  <wp:extent cx="2117090" cy="1363345"/>
                  <wp:effectExtent l="0" t="0" r="0" b="0"/>
                  <wp:docPr id="17808957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36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6DC3" w14:paraId="306CD8DE" w14:textId="77777777">
        <w:tc>
          <w:tcPr>
            <w:tcW w:w="624" w:type="dxa"/>
          </w:tcPr>
          <w:p w14:paraId="77DB86BF" w14:textId="77777777" w:rsidR="00CB6DC3" w:rsidRDefault="00CB6DC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14:paraId="3BCD3F0E" w14:textId="77777777" w:rsidR="00CB6DC3" w:rsidRDefault="00CB6DC3">
            <w:pPr>
              <w:pStyle w:val="ConsPlusNormal"/>
            </w:pPr>
            <w:r>
              <w:t>Композиционное и архитектурно-художественное оформление западного фасада</w:t>
            </w:r>
          </w:p>
        </w:tc>
        <w:tc>
          <w:tcPr>
            <w:tcW w:w="2693" w:type="dxa"/>
          </w:tcPr>
          <w:p w14:paraId="4BF8C4B1" w14:textId="77777777" w:rsidR="00CB6DC3" w:rsidRDefault="00CB6DC3">
            <w:pPr>
              <w:pStyle w:val="ConsPlusNormal"/>
            </w:pPr>
            <w:r>
              <w:t>характер, ритм и размер вертикального и горизонтального членения фасада в 3 оси ниш, его декоративное убранство, включающее следующие элементы:</w:t>
            </w:r>
          </w:p>
          <w:p w14:paraId="219E9484" w14:textId="77777777" w:rsidR="00CB6DC3" w:rsidRDefault="00CB6DC3">
            <w:pPr>
              <w:pStyle w:val="ConsPlusNormal"/>
            </w:pPr>
            <w:r>
              <w:t>- глухие ниши в 3 оси, члененные пилястрами;</w:t>
            </w:r>
          </w:p>
          <w:p w14:paraId="5BB45A1A" w14:textId="77777777" w:rsidR="00CB6DC3" w:rsidRDefault="00CB6DC3">
            <w:pPr>
              <w:pStyle w:val="ConsPlusNormal"/>
            </w:pPr>
            <w:r>
              <w:t>- фриз с имитацией кронштейнов;</w:t>
            </w:r>
          </w:p>
          <w:p w14:paraId="30F18298" w14:textId="77777777" w:rsidR="00CB6DC3" w:rsidRDefault="00CB6DC3">
            <w:pPr>
              <w:pStyle w:val="ConsPlusNormal"/>
            </w:pPr>
            <w:r>
              <w:t>- профилированный карниз;</w:t>
            </w:r>
          </w:p>
          <w:p w14:paraId="3C2BD151" w14:textId="77777777" w:rsidR="00CB6DC3" w:rsidRDefault="00CB6DC3">
            <w:pPr>
              <w:pStyle w:val="ConsPlusNormal"/>
            </w:pPr>
            <w:r>
              <w:t>- межэтажный пояс с поребриком</w:t>
            </w:r>
          </w:p>
        </w:tc>
        <w:tc>
          <w:tcPr>
            <w:tcW w:w="3458" w:type="dxa"/>
          </w:tcPr>
          <w:p w14:paraId="7809F0EE" w14:textId="77777777" w:rsidR="00CB6DC3" w:rsidRDefault="00CB6DC3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6E1CB735" wp14:editId="5EAD7033">
                  <wp:extent cx="2117090" cy="1596390"/>
                  <wp:effectExtent l="0" t="0" r="0" b="0"/>
                  <wp:docPr id="5872021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6DC3" w14:paraId="6AF7FD38" w14:textId="77777777">
        <w:tc>
          <w:tcPr>
            <w:tcW w:w="624" w:type="dxa"/>
          </w:tcPr>
          <w:p w14:paraId="5AC8809B" w14:textId="77777777" w:rsidR="00CB6DC3" w:rsidRDefault="00CB6DC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58FAB0D8" w14:textId="77777777" w:rsidR="00CB6DC3" w:rsidRDefault="00CB6DC3">
            <w:pPr>
              <w:pStyle w:val="ConsPlusNormal"/>
            </w:pPr>
            <w:r>
              <w:t xml:space="preserve">Материалы и </w:t>
            </w:r>
            <w:r>
              <w:lastRenderedPageBreak/>
              <w:t>характер обработки фасадов</w:t>
            </w:r>
          </w:p>
        </w:tc>
        <w:tc>
          <w:tcPr>
            <w:tcW w:w="2693" w:type="dxa"/>
          </w:tcPr>
          <w:p w14:paraId="245F35F2" w14:textId="77777777" w:rsidR="00CB6DC3" w:rsidRDefault="00CB6DC3">
            <w:pPr>
              <w:pStyle w:val="ConsPlusNormal"/>
            </w:pPr>
            <w:r>
              <w:lastRenderedPageBreak/>
              <w:t xml:space="preserve">несущие наружные </w:t>
            </w:r>
            <w:r>
              <w:lastRenderedPageBreak/>
              <w:t>стены - открытая кирпичная кладка с расшивкой швов;</w:t>
            </w:r>
          </w:p>
          <w:p w14:paraId="73A558D5" w14:textId="77777777" w:rsidR="00CB6DC3" w:rsidRDefault="00CB6DC3">
            <w:pPr>
              <w:pStyle w:val="ConsPlusNormal"/>
            </w:pPr>
            <w:r>
              <w:t>несущие внутренние стены - кирпичная кладка стен с последующей штукатуркой;</w:t>
            </w:r>
          </w:p>
          <w:p w14:paraId="294DCE01" w14:textId="77777777" w:rsidR="00CB6DC3" w:rsidRDefault="00CB6DC3">
            <w:pPr>
              <w:pStyle w:val="ConsPlusNormal"/>
            </w:pPr>
            <w:r>
              <w:t>цоколь - пиленый песчаник</w:t>
            </w:r>
          </w:p>
        </w:tc>
        <w:tc>
          <w:tcPr>
            <w:tcW w:w="3458" w:type="dxa"/>
          </w:tcPr>
          <w:p w14:paraId="28E4C220" w14:textId="77777777" w:rsidR="00CB6DC3" w:rsidRDefault="00CB6DC3">
            <w:pPr>
              <w:pStyle w:val="ConsPlusNormal"/>
            </w:pPr>
          </w:p>
        </w:tc>
      </w:tr>
    </w:tbl>
    <w:p w14:paraId="46BA4501" w14:textId="77777777" w:rsidR="00CB6DC3" w:rsidRDefault="00CB6DC3">
      <w:pPr>
        <w:pStyle w:val="ConsPlusNormal"/>
        <w:jc w:val="both"/>
      </w:pPr>
    </w:p>
    <w:p w14:paraId="72F61459" w14:textId="77777777" w:rsidR="00CB6DC3" w:rsidRDefault="00CB6DC3">
      <w:pPr>
        <w:pStyle w:val="ConsPlusNormal"/>
        <w:jc w:val="both"/>
      </w:pPr>
    </w:p>
    <w:p w14:paraId="65778421" w14:textId="77777777" w:rsidR="00CB6DC3" w:rsidRDefault="00CB6DC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613A7CC" w14:textId="77777777" w:rsidR="00CB6DC3" w:rsidRDefault="00CB6DC3"/>
    <w:sectPr w:rsidR="00CB6DC3" w:rsidSect="00CB6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DC3"/>
    <w:rsid w:val="00263B4D"/>
    <w:rsid w:val="00CB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563D"/>
  <w15:chartTrackingRefBased/>
  <w15:docId w15:val="{716D8D1A-0591-47E8-B8A0-0A9DC23A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D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D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D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6D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6D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6D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6D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6D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6D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6D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6D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6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6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6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6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6D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6D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6D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6D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6DC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6DC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B6D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B6D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B6DC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AB01E6303996C180AE76015559D345E1E345A1B174A0A1F94D0FDBC7F4873EF1B088C994836CFCDDBB384205F69E06534992CAE5EDF07F2B4C216C9CEFAJ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AB01E6303996C180AE77E1843F16B5B1C3F061016450548CC87FBEB201875BA5B488ACC0B72C2CDDBB8D0701B37B93675D221AB45C307F7CAFFJ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8AB01E6303996C180AE77E1843F16B5B1A3607171D450548CC87FBEB201875BA4948D2C00977DCCCDCAD86215DC6F7J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849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2025-07-25T09:05:00Z</dcterms:created>
  <dcterms:modified xsi:type="dcterms:W3CDTF">2025-07-25T09:05:00Z</dcterms:modified>
</cp:coreProperties>
</file>