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BBFA3" w14:textId="67D19A2E" w:rsidR="00EF5776" w:rsidRDefault="00EF577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F5776">
        <w:t>Приказ комитета государственной охраны объектов культурного наследия Волгоградской обл. от 24.06.2025 N 205-од "Об утверждении предмета охраны объекта культурного наследия регионального значения "Дом жилой", расположенного по адресу: Волгоградская область, г. Волгоград, тер. Рабочий поселок Горьковский, ул. Станционная, д. 25"</w:t>
      </w:r>
    </w:p>
    <w:p w14:paraId="2DA3AC4E" w14:textId="77777777" w:rsidR="00EF5776" w:rsidRDefault="00EF5776">
      <w:pPr>
        <w:pStyle w:val="ConsPlusNormal"/>
        <w:jc w:val="both"/>
        <w:outlineLvl w:val="0"/>
      </w:pPr>
    </w:p>
    <w:p w14:paraId="7B15E8E0" w14:textId="77777777" w:rsidR="00EF5776" w:rsidRDefault="00EF577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293D097" w14:textId="77777777" w:rsidR="00EF5776" w:rsidRDefault="00EF5776">
      <w:pPr>
        <w:pStyle w:val="ConsPlusTitle"/>
        <w:jc w:val="center"/>
      </w:pPr>
      <w:r>
        <w:t>КУЛЬТУРНОГО НАСЛЕДИЯ ВОЛГОГРАДСКОЙ ОБЛАСТИ</w:t>
      </w:r>
    </w:p>
    <w:p w14:paraId="4BB5E408" w14:textId="77777777" w:rsidR="00EF5776" w:rsidRDefault="00EF5776">
      <w:pPr>
        <w:pStyle w:val="ConsPlusTitle"/>
        <w:jc w:val="both"/>
      </w:pPr>
    </w:p>
    <w:p w14:paraId="1BF9E312" w14:textId="77777777" w:rsidR="00EF5776" w:rsidRDefault="00EF5776">
      <w:pPr>
        <w:pStyle w:val="ConsPlusTitle"/>
        <w:jc w:val="center"/>
      </w:pPr>
      <w:r>
        <w:t>ПРИКАЗ</w:t>
      </w:r>
    </w:p>
    <w:p w14:paraId="5C88ED0C" w14:textId="77777777" w:rsidR="00EF5776" w:rsidRDefault="00EF5776">
      <w:pPr>
        <w:pStyle w:val="ConsPlusTitle"/>
        <w:jc w:val="center"/>
      </w:pPr>
      <w:r>
        <w:t>от 24 июня 2025 г. N 205-од</w:t>
      </w:r>
    </w:p>
    <w:p w14:paraId="0BFAD874" w14:textId="77777777" w:rsidR="00EF5776" w:rsidRDefault="00EF5776">
      <w:pPr>
        <w:pStyle w:val="ConsPlusTitle"/>
        <w:jc w:val="both"/>
      </w:pPr>
    </w:p>
    <w:p w14:paraId="314E8D9E" w14:textId="77777777" w:rsidR="00EF5776" w:rsidRDefault="00EF577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D9BB812" w14:textId="77777777" w:rsidR="00EF5776" w:rsidRDefault="00EF5776">
      <w:pPr>
        <w:pStyle w:val="ConsPlusTitle"/>
        <w:jc w:val="center"/>
      </w:pPr>
      <w:r>
        <w:t>РЕГИОНАЛЬНОГО ЗНАЧЕНИЯ "ДОМ ЖИЛОЙ", РАСПОЛОЖЕННОГО</w:t>
      </w:r>
    </w:p>
    <w:p w14:paraId="49F163EE" w14:textId="77777777" w:rsidR="00EF5776" w:rsidRDefault="00EF5776">
      <w:pPr>
        <w:pStyle w:val="ConsPlusTitle"/>
        <w:jc w:val="center"/>
      </w:pPr>
      <w:r>
        <w:t>ПО АДРЕСУ: ВОЛГОГРАДСКАЯ ОБЛАСТЬ, Г. ВОЛГОГРАД, ТЕР. РАБОЧИЙ</w:t>
      </w:r>
    </w:p>
    <w:p w14:paraId="4C936FB0" w14:textId="77777777" w:rsidR="00EF5776" w:rsidRDefault="00EF5776">
      <w:pPr>
        <w:pStyle w:val="ConsPlusTitle"/>
        <w:jc w:val="center"/>
      </w:pPr>
      <w:r>
        <w:t>ПОСЕЛОК ГОРЬКОВСКИЙ, УЛ. СТАНЦИОННАЯ, Д. 25</w:t>
      </w:r>
    </w:p>
    <w:p w14:paraId="4F307EB0" w14:textId="77777777" w:rsidR="00EF5776" w:rsidRDefault="00EF5776">
      <w:pPr>
        <w:pStyle w:val="ConsPlusNormal"/>
        <w:jc w:val="both"/>
      </w:pPr>
    </w:p>
    <w:p w14:paraId="12791848" w14:textId="77777777" w:rsidR="00EF5776" w:rsidRDefault="00EF577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AA53CAD" w14:textId="77777777" w:rsidR="00EF5776" w:rsidRDefault="00EF5776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0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жилой", расположенного по адресу: Волгоградская область, г. Волгоград, тер. Рабочий поселок Горьковский, ул. Станционная, д. 25.</w:t>
      </w:r>
    </w:p>
    <w:p w14:paraId="40158D5E" w14:textId="77777777" w:rsidR="00EF5776" w:rsidRDefault="00EF5776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15DD24CB" w14:textId="77777777" w:rsidR="00EF5776" w:rsidRDefault="00EF5776">
      <w:pPr>
        <w:pStyle w:val="ConsPlusNormal"/>
        <w:jc w:val="both"/>
      </w:pPr>
    </w:p>
    <w:p w14:paraId="5FD94AD3" w14:textId="77777777" w:rsidR="00EF5776" w:rsidRDefault="00EF5776">
      <w:pPr>
        <w:pStyle w:val="ConsPlusNormal"/>
        <w:jc w:val="right"/>
      </w:pPr>
      <w:r>
        <w:t>Председатель комитета</w:t>
      </w:r>
    </w:p>
    <w:p w14:paraId="2E185AA5" w14:textId="77777777" w:rsidR="00EF5776" w:rsidRDefault="00EF5776">
      <w:pPr>
        <w:pStyle w:val="ConsPlusNormal"/>
        <w:jc w:val="right"/>
      </w:pPr>
      <w:r>
        <w:t>А.Ю.БАЖЕНОВ</w:t>
      </w:r>
    </w:p>
    <w:p w14:paraId="775A252F" w14:textId="77777777" w:rsidR="00EF5776" w:rsidRDefault="00EF5776">
      <w:pPr>
        <w:pStyle w:val="ConsPlusNormal"/>
        <w:jc w:val="both"/>
      </w:pPr>
    </w:p>
    <w:p w14:paraId="58517395" w14:textId="77777777" w:rsidR="00EF5776" w:rsidRDefault="00EF5776">
      <w:pPr>
        <w:pStyle w:val="ConsPlusNormal"/>
        <w:jc w:val="both"/>
      </w:pPr>
    </w:p>
    <w:p w14:paraId="47CC108B" w14:textId="77777777" w:rsidR="00EF5776" w:rsidRDefault="00EF5776">
      <w:pPr>
        <w:pStyle w:val="ConsPlusNormal"/>
        <w:jc w:val="both"/>
      </w:pPr>
    </w:p>
    <w:p w14:paraId="7AA3702C" w14:textId="77777777" w:rsidR="00EF5776" w:rsidRDefault="00EF5776">
      <w:pPr>
        <w:pStyle w:val="ConsPlusNormal"/>
        <w:jc w:val="both"/>
      </w:pPr>
    </w:p>
    <w:p w14:paraId="6B13335B" w14:textId="77777777" w:rsidR="00EF5776" w:rsidRDefault="00EF5776">
      <w:pPr>
        <w:pStyle w:val="ConsPlusNormal"/>
        <w:jc w:val="both"/>
      </w:pPr>
    </w:p>
    <w:p w14:paraId="5AA60F23" w14:textId="77777777" w:rsidR="00EF5776" w:rsidRDefault="00EF5776">
      <w:pPr>
        <w:pStyle w:val="ConsPlusNormal"/>
        <w:jc w:val="right"/>
        <w:outlineLvl w:val="0"/>
      </w:pPr>
      <w:r>
        <w:t>Утвержден</w:t>
      </w:r>
    </w:p>
    <w:p w14:paraId="2F9F8CE7" w14:textId="77777777" w:rsidR="00EF5776" w:rsidRDefault="00EF5776">
      <w:pPr>
        <w:pStyle w:val="ConsPlusNormal"/>
        <w:jc w:val="right"/>
      </w:pPr>
      <w:r>
        <w:t>приказом</w:t>
      </w:r>
    </w:p>
    <w:p w14:paraId="16ED55EF" w14:textId="77777777" w:rsidR="00EF5776" w:rsidRDefault="00EF5776">
      <w:pPr>
        <w:pStyle w:val="ConsPlusNormal"/>
        <w:jc w:val="right"/>
      </w:pPr>
      <w:r>
        <w:t>комитета государственной охраны</w:t>
      </w:r>
    </w:p>
    <w:p w14:paraId="2A066766" w14:textId="77777777" w:rsidR="00EF5776" w:rsidRDefault="00EF5776">
      <w:pPr>
        <w:pStyle w:val="ConsPlusNormal"/>
        <w:jc w:val="right"/>
      </w:pPr>
      <w:r>
        <w:t>объектов культурного наследия</w:t>
      </w:r>
    </w:p>
    <w:p w14:paraId="52B98906" w14:textId="77777777" w:rsidR="00EF5776" w:rsidRDefault="00EF5776">
      <w:pPr>
        <w:pStyle w:val="ConsPlusNormal"/>
        <w:jc w:val="right"/>
      </w:pPr>
      <w:r>
        <w:t>Волгоградской области</w:t>
      </w:r>
    </w:p>
    <w:p w14:paraId="32CA8445" w14:textId="77777777" w:rsidR="00EF5776" w:rsidRDefault="00EF5776">
      <w:pPr>
        <w:pStyle w:val="ConsPlusNormal"/>
        <w:jc w:val="right"/>
      </w:pPr>
      <w:r>
        <w:t>от 24 июня 2025 г. N 205-од</w:t>
      </w:r>
    </w:p>
    <w:p w14:paraId="1E4123C9" w14:textId="77777777" w:rsidR="00EF5776" w:rsidRDefault="00EF5776">
      <w:pPr>
        <w:pStyle w:val="ConsPlusNormal"/>
        <w:jc w:val="both"/>
      </w:pPr>
    </w:p>
    <w:p w14:paraId="44068BE5" w14:textId="77777777" w:rsidR="00EF5776" w:rsidRDefault="00EF5776">
      <w:pPr>
        <w:pStyle w:val="ConsPlusTitle"/>
        <w:jc w:val="center"/>
      </w:pPr>
      <w:bookmarkStart w:id="0" w:name="P30"/>
      <w:bookmarkEnd w:id="0"/>
      <w:r>
        <w:t>ПРЕДМЕТ ОХРАНЫ ОБЪЕКТА КУЛЬТУРНОГО НАСЛЕДИЯ РЕГИОНАЛЬНОГО</w:t>
      </w:r>
    </w:p>
    <w:p w14:paraId="4A319AAB" w14:textId="77777777" w:rsidR="00EF5776" w:rsidRDefault="00EF5776">
      <w:pPr>
        <w:pStyle w:val="ConsPlusTitle"/>
        <w:jc w:val="center"/>
      </w:pPr>
      <w:r>
        <w:lastRenderedPageBreak/>
        <w:t>ЗНАЧЕНИЯ "ДОМ ЖИЛОЙ", РАСПОЛОЖЕННОГО ПО АДРЕСУ:</w:t>
      </w:r>
    </w:p>
    <w:p w14:paraId="6C078116" w14:textId="77777777" w:rsidR="00EF5776" w:rsidRDefault="00EF5776">
      <w:pPr>
        <w:pStyle w:val="ConsPlusTitle"/>
        <w:jc w:val="center"/>
      </w:pPr>
      <w:r>
        <w:t>ВОЛГОГРАДСКАЯ ОБЛАСТЬ, Г. ВОЛГОГРАД, ТЕР. РАБОЧИЙ ПОСЕЛОК</w:t>
      </w:r>
    </w:p>
    <w:p w14:paraId="76F02991" w14:textId="77777777" w:rsidR="00EF5776" w:rsidRDefault="00EF5776">
      <w:pPr>
        <w:pStyle w:val="ConsPlusTitle"/>
        <w:jc w:val="center"/>
      </w:pPr>
      <w:r>
        <w:t>ГОРЬКОВСКИЙ, УЛ. СТАНЦИОННАЯ, Д. 25</w:t>
      </w:r>
    </w:p>
    <w:p w14:paraId="76779430" w14:textId="77777777" w:rsidR="00EF5776" w:rsidRDefault="00EF5776">
      <w:pPr>
        <w:pStyle w:val="ConsPlusNormal"/>
        <w:jc w:val="both"/>
      </w:pPr>
    </w:p>
    <w:p w14:paraId="647CE0A8" w14:textId="77777777" w:rsidR="00EF5776" w:rsidRDefault="00EF5776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жилой", расположенного по адресу: Волгоградская область, г. Волгоград, тер. Рабочий поселок Горьковский, ул. Станционная, д. 25, являются:</w:t>
      </w:r>
    </w:p>
    <w:p w14:paraId="25C38A8A" w14:textId="77777777" w:rsidR="00EF5776" w:rsidRDefault="00EF577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9"/>
        <w:gridCol w:w="2608"/>
        <w:gridCol w:w="3572"/>
      </w:tblGrid>
      <w:tr w:rsidR="00EF5776" w14:paraId="7B845CEB" w14:textId="77777777">
        <w:tc>
          <w:tcPr>
            <w:tcW w:w="567" w:type="dxa"/>
          </w:tcPr>
          <w:p w14:paraId="59A68D20" w14:textId="77777777" w:rsidR="00EF5776" w:rsidRDefault="00EF577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6580D8EB" w14:textId="77777777" w:rsidR="00EF5776" w:rsidRDefault="00EF5776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08" w:type="dxa"/>
          </w:tcPr>
          <w:p w14:paraId="1B0E967A" w14:textId="77777777" w:rsidR="00EF5776" w:rsidRDefault="00EF5776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19AF7767" w14:textId="77777777" w:rsidR="00EF5776" w:rsidRDefault="00EF5776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F5776" w14:paraId="389BF86E" w14:textId="77777777">
        <w:tc>
          <w:tcPr>
            <w:tcW w:w="567" w:type="dxa"/>
          </w:tcPr>
          <w:p w14:paraId="1FED8D8C" w14:textId="77777777" w:rsidR="00EF5776" w:rsidRDefault="00EF577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775BF62B" w14:textId="77777777" w:rsidR="00EF5776" w:rsidRDefault="00EF5776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08" w:type="dxa"/>
          </w:tcPr>
          <w:p w14:paraId="1DFFC64F" w14:textId="77777777" w:rsidR="00EF5776" w:rsidRDefault="00EF5776">
            <w:pPr>
              <w:pStyle w:val="ConsPlusNormal"/>
            </w:pPr>
            <w:r>
              <w:t>Волгоградская область, г. Волгоград, тер. Рабочий поселок Горьковский, ул. Станционная, д. 25</w:t>
            </w:r>
          </w:p>
        </w:tc>
        <w:tc>
          <w:tcPr>
            <w:tcW w:w="3572" w:type="dxa"/>
          </w:tcPr>
          <w:p w14:paraId="786793BF" w14:textId="77777777" w:rsidR="00EF5776" w:rsidRDefault="00EF5776">
            <w:pPr>
              <w:pStyle w:val="ConsPlusNormal"/>
              <w:jc w:val="center"/>
            </w:pPr>
            <w:r>
              <w:rPr>
                <w:noProof/>
                <w:position w:val="-171"/>
              </w:rPr>
              <w:drawing>
                <wp:inline distT="0" distB="0" distL="0" distR="0" wp14:anchorId="3307CD98" wp14:editId="4D6707A0">
                  <wp:extent cx="2189480" cy="233172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33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776" w14:paraId="460C1C17" w14:textId="77777777">
        <w:tc>
          <w:tcPr>
            <w:tcW w:w="567" w:type="dxa"/>
          </w:tcPr>
          <w:p w14:paraId="5296591E" w14:textId="77777777" w:rsidR="00EF5776" w:rsidRDefault="00EF577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6CE5C6D6" w14:textId="77777777" w:rsidR="00EF5776" w:rsidRDefault="00EF5776">
            <w:pPr>
              <w:pStyle w:val="ConsPlusNormal"/>
            </w:pPr>
            <w:r>
              <w:t>Объемно-пространственная композиция объекта здания</w:t>
            </w:r>
          </w:p>
        </w:tc>
        <w:tc>
          <w:tcPr>
            <w:tcW w:w="2608" w:type="dxa"/>
          </w:tcPr>
          <w:p w14:paraId="4609F202" w14:textId="77777777" w:rsidR="00EF5776" w:rsidRDefault="00EF5776">
            <w:pPr>
              <w:pStyle w:val="ConsPlusNormal"/>
            </w:pPr>
            <w:r>
              <w:t>2-этажное здание ступенчатое в плане с южной стороны (в габаритах несущих конструкций)</w:t>
            </w:r>
          </w:p>
        </w:tc>
        <w:tc>
          <w:tcPr>
            <w:tcW w:w="3572" w:type="dxa"/>
          </w:tcPr>
          <w:p w14:paraId="069610B8" w14:textId="77777777" w:rsidR="00EF5776" w:rsidRDefault="00EF5776">
            <w:pPr>
              <w:pStyle w:val="ConsPlusNormal"/>
              <w:jc w:val="center"/>
            </w:pPr>
            <w:r>
              <w:rPr>
                <w:noProof/>
                <w:position w:val="-118"/>
              </w:rPr>
              <w:drawing>
                <wp:inline distT="0" distB="0" distL="0" distR="0" wp14:anchorId="049C62F0" wp14:editId="7E8C548B">
                  <wp:extent cx="2189480" cy="1651000"/>
                  <wp:effectExtent l="0" t="0" r="0" b="0"/>
                  <wp:docPr id="4218440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5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776" w14:paraId="39EA0DF1" w14:textId="77777777">
        <w:tc>
          <w:tcPr>
            <w:tcW w:w="567" w:type="dxa"/>
          </w:tcPr>
          <w:p w14:paraId="599E6F80" w14:textId="77777777" w:rsidR="00EF5776" w:rsidRDefault="00EF577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2E2876D7" w14:textId="77777777" w:rsidR="00EF5776" w:rsidRDefault="00EF5776">
            <w:pPr>
              <w:pStyle w:val="ConsPlusNormal"/>
            </w:pPr>
            <w:r>
              <w:t>Композиционное и архитектурно-художественное оформление северного фасада</w:t>
            </w:r>
          </w:p>
        </w:tc>
        <w:tc>
          <w:tcPr>
            <w:tcW w:w="2608" w:type="dxa"/>
          </w:tcPr>
          <w:p w14:paraId="6163DAD0" w14:textId="77777777" w:rsidR="00EF5776" w:rsidRDefault="00EF5776">
            <w:pPr>
              <w:pStyle w:val="ConsPlusNormal"/>
            </w:pPr>
            <w:r>
              <w:t>характер, ритм и размер вертикального и горизонтального членения фасада в 6 световых осей, его декоративное убранство, включающее следующие элементы:</w:t>
            </w:r>
          </w:p>
          <w:p w14:paraId="4ECE4D0E" w14:textId="77777777" w:rsidR="00EF5776" w:rsidRDefault="00EF5776">
            <w:pPr>
              <w:pStyle w:val="ConsPlusNormal"/>
            </w:pPr>
            <w:r>
              <w:t>- углы ризалита и здания фланкированы декоративными пилястрами;</w:t>
            </w:r>
          </w:p>
          <w:p w14:paraId="5B6EF6B7" w14:textId="77777777" w:rsidR="00EF5776" w:rsidRDefault="00EF5776">
            <w:pPr>
              <w:pStyle w:val="ConsPlusNormal"/>
            </w:pPr>
            <w:r>
              <w:t xml:space="preserve">- оконные проемы с выступающими </w:t>
            </w:r>
            <w:r>
              <w:lastRenderedPageBreak/>
              <w:t>лучковыми перемычками с замковыми камнями и подоконными нишами;</w:t>
            </w:r>
          </w:p>
          <w:p w14:paraId="4AFBA225" w14:textId="77777777" w:rsidR="00EF5776" w:rsidRDefault="00EF5776">
            <w:pPr>
              <w:pStyle w:val="ConsPlusNormal"/>
            </w:pPr>
            <w:r>
              <w:t>- межэтажный и межоконный пояса с поребриком;</w:t>
            </w:r>
          </w:p>
          <w:p w14:paraId="32885336" w14:textId="77777777" w:rsidR="00EF5776" w:rsidRDefault="00EF5776">
            <w:pPr>
              <w:pStyle w:val="ConsPlusNormal"/>
            </w:pPr>
            <w:r>
              <w:t>- фриз, дополненный кронштейнами;</w:t>
            </w:r>
          </w:p>
          <w:p w14:paraId="32ED1C6E" w14:textId="77777777" w:rsidR="00EF5776" w:rsidRDefault="00EF5776">
            <w:pPr>
              <w:pStyle w:val="ConsPlusNormal"/>
            </w:pPr>
            <w:r>
              <w:t>- профилированный карниз</w:t>
            </w:r>
          </w:p>
        </w:tc>
        <w:tc>
          <w:tcPr>
            <w:tcW w:w="3572" w:type="dxa"/>
          </w:tcPr>
          <w:p w14:paraId="4D686B52" w14:textId="77777777" w:rsidR="00EF5776" w:rsidRDefault="00EF5776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lastRenderedPageBreak/>
              <w:drawing>
                <wp:inline distT="0" distB="0" distL="0" distR="0" wp14:anchorId="68946403" wp14:editId="1FCDA953">
                  <wp:extent cx="2189480" cy="1595120"/>
                  <wp:effectExtent l="0" t="0" r="0" b="0"/>
                  <wp:docPr id="12900558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59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776" w14:paraId="53214ED6" w14:textId="77777777">
        <w:tc>
          <w:tcPr>
            <w:tcW w:w="567" w:type="dxa"/>
          </w:tcPr>
          <w:p w14:paraId="6325B8A1" w14:textId="77777777" w:rsidR="00EF5776" w:rsidRDefault="00EF577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</w:tcPr>
          <w:p w14:paraId="3928EFC6" w14:textId="77777777" w:rsidR="00EF5776" w:rsidRDefault="00EF5776">
            <w:pPr>
              <w:pStyle w:val="ConsPlusNormal"/>
            </w:pPr>
            <w:r>
              <w:t>Композиционное и архитектурно-художественное оформление восточного фасада</w:t>
            </w:r>
          </w:p>
        </w:tc>
        <w:tc>
          <w:tcPr>
            <w:tcW w:w="2608" w:type="dxa"/>
          </w:tcPr>
          <w:p w14:paraId="72835F5C" w14:textId="77777777" w:rsidR="00EF5776" w:rsidRDefault="00EF5776">
            <w:pPr>
              <w:pStyle w:val="ConsPlusNormal"/>
            </w:pPr>
            <w:r>
              <w:t>характер, ритм и размер вертикального и горизонтального членения фасада в 2 световые оси по центру, его декоративное убранство, включающее следующие элементы:</w:t>
            </w:r>
          </w:p>
          <w:p w14:paraId="34EE43DC" w14:textId="77777777" w:rsidR="00EF5776" w:rsidRDefault="00EF5776">
            <w:pPr>
              <w:pStyle w:val="ConsPlusNormal"/>
            </w:pPr>
            <w:r>
              <w:t>- симметричность трехчастного фасада, акцентированная фланкирующими пилястрами;</w:t>
            </w:r>
          </w:p>
          <w:p w14:paraId="33AE1714" w14:textId="77777777" w:rsidR="00EF5776" w:rsidRDefault="00EF5776">
            <w:pPr>
              <w:pStyle w:val="ConsPlusNormal"/>
            </w:pPr>
            <w:r>
              <w:t>- парные узкие оконные проемы с выступающими лучковыми перемычками с замковыми камнями и подоконными нишами по центральной оси и 1, 2-го этажей здания;</w:t>
            </w:r>
          </w:p>
          <w:p w14:paraId="38B83109" w14:textId="77777777" w:rsidR="00EF5776" w:rsidRDefault="00EF5776">
            <w:pPr>
              <w:pStyle w:val="ConsPlusNormal"/>
            </w:pPr>
            <w:r>
              <w:t>- декоративное оформление пилястр;</w:t>
            </w:r>
          </w:p>
          <w:p w14:paraId="0D3DE6C9" w14:textId="77777777" w:rsidR="00EF5776" w:rsidRDefault="00EF5776">
            <w:pPr>
              <w:pStyle w:val="ConsPlusNormal"/>
            </w:pPr>
            <w:r>
              <w:t>- фриз, дополненный кронштейнами;</w:t>
            </w:r>
          </w:p>
          <w:p w14:paraId="1ACB6F8F" w14:textId="77777777" w:rsidR="00EF5776" w:rsidRDefault="00EF5776">
            <w:pPr>
              <w:pStyle w:val="ConsPlusNormal"/>
            </w:pPr>
            <w:r>
              <w:t>- профилированный карниз;</w:t>
            </w:r>
          </w:p>
          <w:p w14:paraId="09837FD1" w14:textId="77777777" w:rsidR="00EF5776" w:rsidRDefault="00EF5776">
            <w:pPr>
              <w:pStyle w:val="ConsPlusNormal"/>
            </w:pPr>
            <w:r>
              <w:t>- межэтажный пояс с поребриком</w:t>
            </w:r>
          </w:p>
        </w:tc>
        <w:tc>
          <w:tcPr>
            <w:tcW w:w="3572" w:type="dxa"/>
          </w:tcPr>
          <w:p w14:paraId="14CB379D" w14:textId="77777777" w:rsidR="00EF5776" w:rsidRDefault="00EF5776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2FE58DA6" wp14:editId="1477F180">
                  <wp:extent cx="2189480" cy="1644650"/>
                  <wp:effectExtent l="0" t="0" r="0" b="0"/>
                  <wp:docPr id="21306309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776" w14:paraId="12EA8665" w14:textId="77777777">
        <w:tc>
          <w:tcPr>
            <w:tcW w:w="567" w:type="dxa"/>
          </w:tcPr>
          <w:p w14:paraId="3FDA488D" w14:textId="77777777" w:rsidR="00EF5776" w:rsidRDefault="00EF5776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341E16C6" w14:textId="77777777" w:rsidR="00EF5776" w:rsidRDefault="00EF5776">
            <w:pPr>
              <w:pStyle w:val="ConsPlusNormal"/>
            </w:pPr>
            <w:r>
              <w:t>Композиционное и архитектурно-художественное оформление южного фасада</w:t>
            </w:r>
          </w:p>
        </w:tc>
        <w:tc>
          <w:tcPr>
            <w:tcW w:w="2608" w:type="dxa"/>
          </w:tcPr>
          <w:p w14:paraId="015C83B3" w14:textId="77777777" w:rsidR="00EF5776" w:rsidRDefault="00EF5776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следующие элементы:</w:t>
            </w:r>
          </w:p>
          <w:p w14:paraId="55350E5E" w14:textId="77777777" w:rsidR="00EF5776" w:rsidRDefault="00EF5776">
            <w:pPr>
              <w:pStyle w:val="ConsPlusNormal"/>
            </w:pPr>
            <w:r>
              <w:t>- симметрично расположенный ступенчатый ризалит;</w:t>
            </w:r>
          </w:p>
          <w:p w14:paraId="6F7509A8" w14:textId="77777777" w:rsidR="00EF5776" w:rsidRDefault="00EF5776">
            <w:pPr>
              <w:pStyle w:val="ConsPlusNormal"/>
            </w:pPr>
            <w:r>
              <w:t>- парадный вход по центральной оси;</w:t>
            </w:r>
          </w:p>
          <w:p w14:paraId="780071B5" w14:textId="77777777" w:rsidR="00EF5776" w:rsidRDefault="00EF5776">
            <w:pPr>
              <w:pStyle w:val="ConsPlusNormal"/>
            </w:pPr>
            <w:r>
              <w:t>- вытянутый оконный проем с лучковой пологой перемычкой, над которым располагается оконный проем с циркульным завершением (термальный);</w:t>
            </w:r>
          </w:p>
          <w:p w14:paraId="44171A60" w14:textId="77777777" w:rsidR="00EF5776" w:rsidRDefault="00EF5776">
            <w:pPr>
              <w:pStyle w:val="ConsPlusNormal"/>
            </w:pPr>
            <w:r>
              <w:t>- оконные проемы с пологими лучковыми выступающими перемычками с замковыми камнями и подоконными карнизами со свесами 1, 2-го этажей здания;</w:t>
            </w:r>
          </w:p>
          <w:p w14:paraId="455BA4D3" w14:textId="77777777" w:rsidR="00EF5776" w:rsidRDefault="00EF5776">
            <w:pPr>
              <w:pStyle w:val="ConsPlusNormal"/>
            </w:pPr>
            <w:r>
              <w:t>- углы ризалита и здания фланкированы декоративными пилястрами;</w:t>
            </w:r>
          </w:p>
          <w:p w14:paraId="67CF0539" w14:textId="77777777" w:rsidR="00EF5776" w:rsidRDefault="00EF5776">
            <w:pPr>
              <w:pStyle w:val="ConsPlusNormal"/>
            </w:pPr>
            <w:r>
              <w:t>- межэтажный и межоконный пояса с поребриком;</w:t>
            </w:r>
          </w:p>
          <w:p w14:paraId="0C083BFE" w14:textId="77777777" w:rsidR="00EF5776" w:rsidRDefault="00EF5776">
            <w:pPr>
              <w:pStyle w:val="ConsPlusNormal"/>
            </w:pPr>
            <w:r>
              <w:t>- фриз, дополненный кронштейнами; профилированный карниз</w:t>
            </w:r>
          </w:p>
        </w:tc>
        <w:tc>
          <w:tcPr>
            <w:tcW w:w="3572" w:type="dxa"/>
          </w:tcPr>
          <w:p w14:paraId="32F24269" w14:textId="77777777" w:rsidR="00EF5776" w:rsidRDefault="00EF5776">
            <w:pPr>
              <w:pStyle w:val="ConsPlusNormal"/>
              <w:jc w:val="center"/>
            </w:pPr>
            <w:r>
              <w:rPr>
                <w:noProof/>
                <w:position w:val="-98"/>
              </w:rPr>
              <w:drawing>
                <wp:inline distT="0" distB="0" distL="0" distR="0" wp14:anchorId="587866F5" wp14:editId="1E12AC55">
                  <wp:extent cx="2189480" cy="1403985"/>
                  <wp:effectExtent l="0" t="0" r="0" b="0"/>
                  <wp:docPr id="14259176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40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776" w14:paraId="1180EE2A" w14:textId="77777777">
        <w:tc>
          <w:tcPr>
            <w:tcW w:w="567" w:type="dxa"/>
          </w:tcPr>
          <w:p w14:paraId="4A3298C6" w14:textId="77777777" w:rsidR="00EF5776" w:rsidRDefault="00EF5776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121BB3BB" w14:textId="77777777" w:rsidR="00EF5776" w:rsidRDefault="00EF5776">
            <w:pPr>
              <w:pStyle w:val="ConsPlusNormal"/>
            </w:pPr>
            <w:r>
              <w:t>Композиционное и архитектурно-художественное оформление западного фасада</w:t>
            </w:r>
          </w:p>
        </w:tc>
        <w:tc>
          <w:tcPr>
            <w:tcW w:w="2608" w:type="dxa"/>
          </w:tcPr>
          <w:p w14:paraId="4BCAD191" w14:textId="77777777" w:rsidR="00EF5776" w:rsidRDefault="00EF5776">
            <w:pPr>
              <w:pStyle w:val="ConsPlusNormal"/>
            </w:pPr>
            <w:r>
              <w:t>характер, ритм и размер вертикального и горизонтального членения фасада в 2 световые оси по центру, его декоративное убранство, включающее следующие элементы:</w:t>
            </w:r>
          </w:p>
          <w:p w14:paraId="3ED69033" w14:textId="77777777" w:rsidR="00EF5776" w:rsidRDefault="00EF5776">
            <w:pPr>
              <w:pStyle w:val="ConsPlusNormal"/>
            </w:pPr>
            <w:r>
              <w:t>- симметричность трехчастного фасада, акцентированная фланкирующими пилястрами;</w:t>
            </w:r>
          </w:p>
          <w:p w14:paraId="4866DD47" w14:textId="77777777" w:rsidR="00EF5776" w:rsidRDefault="00EF5776">
            <w:pPr>
              <w:pStyle w:val="ConsPlusNormal"/>
            </w:pPr>
            <w:r>
              <w:t>- парные узкие оконные проемы с выступающими лучковыми перемычками с замковыми камнями и подоконными нишами по центральной оси и 1, 2-го этажей здания;</w:t>
            </w:r>
          </w:p>
          <w:p w14:paraId="2D43C416" w14:textId="77777777" w:rsidR="00EF5776" w:rsidRDefault="00EF5776">
            <w:pPr>
              <w:pStyle w:val="ConsPlusNormal"/>
            </w:pPr>
            <w:r>
              <w:t>- декоративное оформление пилястр;</w:t>
            </w:r>
          </w:p>
          <w:p w14:paraId="1BC64AEC" w14:textId="77777777" w:rsidR="00EF5776" w:rsidRDefault="00EF5776">
            <w:pPr>
              <w:pStyle w:val="ConsPlusNormal"/>
            </w:pPr>
            <w:r>
              <w:t>- фриз, дополненный кронштейнами;</w:t>
            </w:r>
          </w:p>
          <w:p w14:paraId="21350BCA" w14:textId="77777777" w:rsidR="00EF5776" w:rsidRDefault="00EF5776">
            <w:pPr>
              <w:pStyle w:val="ConsPlusNormal"/>
            </w:pPr>
            <w:r>
              <w:t>- профилированный карниз;</w:t>
            </w:r>
          </w:p>
          <w:p w14:paraId="0B1205E0" w14:textId="77777777" w:rsidR="00EF5776" w:rsidRDefault="00EF5776">
            <w:pPr>
              <w:pStyle w:val="ConsPlusNormal"/>
            </w:pPr>
            <w:r>
              <w:t>- межэтажный пояс с поребриком</w:t>
            </w:r>
          </w:p>
        </w:tc>
        <w:tc>
          <w:tcPr>
            <w:tcW w:w="3572" w:type="dxa"/>
          </w:tcPr>
          <w:p w14:paraId="4D780C69" w14:textId="77777777" w:rsidR="00EF5776" w:rsidRDefault="00EF5776">
            <w:pPr>
              <w:pStyle w:val="ConsPlusNormal"/>
              <w:jc w:val="center"/>
            </w:pPr>
            <w:r>
              <w:rPr>
                <w:noProof/>
                <w:position w:val="-190"/>
              </w:rPr>
              <w:drawing>
                <wp:inline distT="0" distB="0" distL="0" distR="0" wp14:anchorId="4D69FEDD" wp14:editId="766330C9">
                  <wp:extent cx="2189480" cy="2572385"/>
                  <wp:effectExtent l="0" t="0" r="0" b="0"/>
                  <wp:docPr id="16878803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57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5776" w14:paraId="7A1157FF" w14:textId="77777777">
        <w:tc>
          <w:tcPr>
            <w:tcW w:w="567" w:type="dxa"/>
          </w:tcPr>
          <w:p w14:paraId="1A3D88D1" w14:textId="77777777" w:rsidR="00EF5776" w:rsidRDefault="00EF5776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9" w:type="dxa"/>
          </w:tcPr>
          <w:p w14:paraId="45B67F4F" w14:textId="77777777" w:rsidR="00EF5776" w:rsidRDefault="00EF5776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08" w:type="dxa"/>
          </w:tcPr>
          <w:p w14:paraId="053EDB2F" w14:textId="77777777" w:rsidR="00EF5776" w:rsidRDefault="00EF5776">
            <w:pPr>
              <w:pStyle w:val="ConsPlusNormal"/>
            </w:pPr>
            <w:r>
              <w:t>несущие наружные стены - открытая кирпичная кладка с расшивкой швов;</w:t>
            </w:r>
          </w:p>
          <w:p w14:paraId="576B599D" w14:textId="77777777" w:rsidR="00EF5776" w:rsidRDefault="00EF5776">
            <w:pPr>
              <w:pStyle w:val="ConsPlusNormal"/>
            </w:pPr>
            <w:r>
              <w:t>несущие внутренние стены - кирпичная кладка стен с последующей штукатуркой;</w:t>
            </w:r>
          </w:p>
          <w:p w14:paraId="4C59B713" w14:textId="77777777" w:rsidR="00EF5776" w:rsidRDefault="00EF5776">
            <w:pPr>
              <w:pStyle w:val="ConsPlusNormal"/>
            </w:pPr>
            <w:r>
              <w:t>цоколь - пиленый песчаник</w:t>
            </w:r>
          </w:p>
        </w:tc>
        <w:tc>
          <w:tcPr>
            <w:tcW w:w="3572" w:type="dxa"/>
          </w:tcPr>
          <w:p w14:paraId="28D121FB" w14:textId="77777777" w:rsidR="00EF5776" w:rsidRDefault="00EF5776">
            <w:pPr>
              <w:pStyle w:val="ConsPlusNormal"/>
            </w:pPr>
          </w:p>
        </w:tc>
      </w:tr>
    </w:tbl>
    <w:p w14:paraId="0669CC39" w14:textId="77777777" w:rsidR="00EF5776" w:rsidRDefault="00EF5776">
      <w:pPr>
        <w:pStyle w:val="ConsPlusNormal"/>
        <w:jc w:val="both"/>
      </w:pPr>
    </w:p>
    <w:p w14:paraId="23CC607B" w14:textId="77777777" w:rsidR="00EF5776" w:rsidRDefault="00EF5776">
      <w:pPr>
        <w:pStyle w:val="ConsPlusNormal"/>
        <w:jc w:val="both"/>
      </w:pPr>
    </w:p>
    <w:p w14:paraId="729E03E1" w14:textId="77777777" w:rsidR="00EF5776" w:rsidRDefault="00EF577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FAA50EB" w14:textId="77777777" w:rsidR="00EF5776" w:rsidRDefault="00EF5776"/>
    <w:sectPr w:rsidR="00EF5776" w:rsidSect="00EF5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76"/>
    <w:rsid w:val="00CE1518"/>
    <w:rsid w:val="00E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6786B"/>
  <w15:chartTrackingRefBased/>
  <w15:docId w15:val="{E9ADDC3F-3614-40C4-8E03-A5AB8F04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5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5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7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5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57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57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57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57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57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57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57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57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57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57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57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57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57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57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57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5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5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5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5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57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57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57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57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57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577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F57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F57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F577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18028B3584B1D799ECE1A3373371070CAFEA241D49E8CBEA68A1D165374E35331EB484C9B0B6DB87461096FA66653FA173E32817FD825F5825584AT2G1J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F18028B3584B1D799ECFFAE215F2E0208ADB7281746E79CB23FA7863A674860735EB2D18AF4B8D38F4D44C6BE383C6CE038EE2D0CE1825AT4G3J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F18028B3584B1D799ECFFAE215F2E020EA4B62F1C46E79CB23FA7863A674860735EB2D18AF4BBDB874D44C6BE383C6CE038EE2D0CE1825AT4G3J" TargetMode="External"/><Relationship Id="rId11" Type="http://schemas.openxmlformats.org/officeDocument/2006/relationships/image" Target="media/image3.png"/><Relationship Id="rId5" Type="http://schemas.openxmlformats.org/officeDocument/2006/relationships/hyperlink" Target="consultantplus://offline/ref=9F18028B3584B1D799ECFFAE215F2E0208ADB7281746E79CB23FA7863A674860615EEADD88F1A5DA80581297F8T6G8J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919</Words>
  <Characters>5239</Characters>
  <Application>Microsoft Office Word</Application>
  <DocSecurity>0</DocSecurity>
  <Lines>43</Lines>
  <Paragraphs>12</Paragraphs>
  <ScaleCrop>false</ScaleCrop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2025-07-25T09:06:00Z</dcterms:created>
  <dcterms:modified xsi:type="dcterms:W3CDTF">2025-07-25T09:07:00Z</dcterms:modified>
</cp:coreProperties>
</file>