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579BA" w14:textId="06F667D3" w:rsidR="004F299E" w:rsidRDefault="004F299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4F299E">
        <w:t xml:space="preserve">Приказ комитета государственной охраны объектов культурного наследия Волгоградской обл. от 03.09.2025 N 364-од "Об утверждении предмета охраны объекта культурного наследия регионального значения "Мельница </w:t>
      </w:r>
      <w:proofErr w:type="spellStart"/>
      <w:r w:rsidRPr="004F299E">
        <w:t>Пфляумера</w:t>
      </w:r>
      <w:proofErr w:type="spellEnd"/>
      <w:r w:rsidRPr="004F299E">
        <w:t>", расположенного по адресу: Волгоградская область, Николаевский район, рядом с райцентром г. Николаевск и паромной переправой через р. Волгу"</w:t>
      </w:r>
    </w:p>
    <w:p w14:paraId="45BBC1E4" w14:textId="77777777" w:rsidR="004F299E" w:rsidRDefault="004F299E">
      <w:pPr>
        <w:pStyle w:val="ConsPlusNormal"/>
        <w:jc w:val="both"/>
        <w:outlineLvl w:val="0"/>
      </w:pPr>
    </w:p>
    <w:p w14:paraId="4F0A2244" w14:textId="77777777" w:rsidR="004F299E" w:rsidRDefault="004F299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2D16DC2" w14:textId="77777777" w:rsidR="004F299E" w:rsidRDefault="004F299E">
      <w:pPr>
        <w:pStyle w:val="ConsPlusTitle"/>
        <w:jc w:val="center"/>
      </w:pPr>
      <w:r>
        <w:t>КУЛЬТУРНОГО НАСЛЕДИЯ ВОЛГОГРАДСКОЙ ОБЛАСТИ</w:t>
      </w:r>
    </w:p>
    <w:p w14:paraId="476C8A43" w14:textId="77777777" w:rsidR="004F299E" w:rsidRDefault="004F299E">
      <w:pPr>
        <w:pStyle w:val="ConsPlusTitle"/>
        <w:jc w:val="both"/>
      </w:pPr>
    </w:p>
    <w:p w14:paraId="2A00FD90" w14:textId="77777777" w:rsidR="004F299E" w:rsidRDefault="004F299E">
      <w:pPr>
        <w:pStyle w:val="ConsPlusTitle"/>
        <w:jc w:val="center"/>
      </w:pPr>
      <w:r>
        <w:t>ПРИКАЗ</w:t>
      </w:r>
    </w:p>
    <w:p w14:paraId="030C5342" w14:textId="77777777" w:rsidR="004F299E" w:rsidRDefault="004F299E">
      <w:pPr>
        <w:pStyle w:val="ConsPlusTitle"/>
        <w:jc w:val="center"/>
      </w:pPr>
      <w:r>
        <w:t>от 3 сентября 2025 г. N 364-од</w:t>
      </w:r>
    </w:p>
    <w:p w14:paraId="0AE2CB91" w14:textId="77777777" w:rsidR="004F299E" w:rsidRDefault="004F299E">
      <w:pPr>
        <w:pStyle w:val="ConsPlusTitle"/>
        <w:jc w:val="both"/>
      </w:pPr>
    </w:p>
    <w:p w14:paraId="39A8432F" w14:textId="77777777" w:rsidR="004F299E" w:rsidRDefault="004F299E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72633D1" w14:textId="77777777" w:rsidR="004F299E" w:rsidRDefault="004F299E">
      <w:pPr>
        <w:pStyle w:val="ConsPlusTitle"/>
        <w:jc w:val="center"/>
      </w:pPr>
      <w:r>
        <w:t>РЕГИОНАЛЬНОГО ЗНАЧЕНИЯ "МЕЛЬНИЦА ПФЛЯУМЕРА", РАСПОЛОЖЕННОГО</w:t>
      </w:r>
    </w:p>
    <w:p w14:paraId="5F9E83A2" w14:textId="77777777" w:rsidR="004F299E" w:rsidRDefault="004F299E">
      <w:pPr>
        <w:pStyle w:val="ConsPlusTitle"/>
        <w:jc w:val="center"/>
      </w:pPr>
      <w:r>
        <w:t>ПО АДРЕСУ: ВОЛГОГРАДСКАЯ ОБЛАСТЬ, НИКОЛАЕВСКИЙ РАЙОН, РЯДОМ</w:t>
      </w:r>
    </w:p>
    <w:p w14:paraId="5F2CCC38" w14:textId="77777777" w:rsidR="004F299E" w:rsidRDefault="004F299E">
      <w:pPr>
        <w:pStyle w:val="ConsPlusTitle"/>
        <w:jc w:val="center"/>
      </w:pPr>
      <w:r>
        <w:t>С РАЙЦЕНТРОМ Г. НИКОЛАЕВСК И ПАРОМНОЙ ПЕРЕПРАВОЙ ЧЕРЕЗ</w:t>
      </w:r>
    </w:p>
    <w:p w14:paraId="54A36F89" w14:textId="77777777" w:rsidR="004F299E" w:rsidRDefault="004F299E">
      <w:pPr>
        <w:pStyle w:val="ConsPlusTitle"/>
        <w:jc w:val="center"/>
      </w:pPr>
      <w:r>
        <w:t>Р. ВОЛГУ</w:t>
      </w:r>
    </w:p>
    <w:p w14:paraId="1CFAC9E4" w14:textId="77777777" w:rsidR="004F299E" w:rsidRDefault="004F299E">
      <w:pPr>
        <w:pStyle w:val="ConsPlusNormal"/>
        <w:jc w:val="both"/>
      </w:pPr>
    </w:p>
    <w:p w14:paraId="5C1FF19D" w14:textId="77777777" w:rsidR="004F299E" w:rsidRDefault="004F299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085004E" w14:textId="77777777" w:rsidR="004F299E" w:rsidRDefault="004F299E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"Мельница </w:t>
      </w:r>
      <w:proofErr w:type="spellStart"/>
      <w:r>
        <w:t>Пфляумера</w:t>
      </w:r>
      <w:proofErr w:type="spellEnd"/>
      <w:r>
        <w:t>", расположенного по адресу: Волгоградская область, Николаевский район, рядом с райцентром г. Николаевск и паромной переправой через р. Волгу.</w:t>
      </w:r>
    </w:p>
    <w:p w14:paraId="19699C3C" w14:textId="77777777" w:rsidR="004F299E" w:rsidRDefault="004F299E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039B72DB" w14:textId="77777777" w:rsidR="004F299E" w:rsidRDefault="004F299E">
      <w:pPr>
        <w:pStyle w:val="ConsPlusNormal"/>
        <w:jc w:val="both"/>
      </w:pPr>
    </w:p>
    <w:p w14:paraId="7D91F2DA" w14:textId="77777777" w:rsidR="004F299E" w:rsidRDefault="004F299E">
      <w:pPr>
        <w:pStyle w:val="ConsPlusNormal"/>
        <w:jc w:val="right"/>
      </w:pPr>
      <w:r>
        <w:t>Председатель комитета</w:t>
      </w:r>
    </w:p>
    <w:p w14:paraId="631E9758" w14:textId="77777777" w:rsidR="004F299E" w:rsidRDefault="004F299E">
      <w:pPr>
        <w:pStyle w:val="ConsPlusNormal"/>
        <w:jc w:val="right"/>
      </w:pPr>
      <w:r>
        <w:t>А.Ю.БАЖЕНОВ</w:t>
      </w:r>
    </w:p>
    <w:p w14:paraId="27A0F871" w14:textId="77777777" w:rsidR="004F299E" w:rsidRDefault="004F299E">
      <w:pPr>
        <w:pStyle w:val="ConsPlusNormal"/>
        <w:jc w:val="both"/>
      </w:pPr>
    </w:p>
    <w:p w14:paraId="6567C8FC" w14:textId="77777777" w:rsidR="004F299E" w:rsidRDefault="004F299E">
      <w:pPr>
        <w:pStyle w:val="ConsPlusNormal"/>
        <w:jc w:val="both"/>
      </w:pPr>
    </w:p>
    <w:p w14:paraId="599665C1" w14:textId="77777777" w:rsidR="004F299E" w:rsidRDefault="004F299E">
      <w:pPr>
        <w:pStyle w:val="ConsPlusNormal"/>
        <w:jc w:val="both"/>
      </w:pPr>
    </w:p>
    <w:p w14:paraId="79CA80C4" w14:textId="77777777" w:rsidR="004F299E" w:rsidRDefault="004F299E">
      <w:pPr>
        <w:pStyle w:val="ConsPlusNormal"/>
        <w:jc w:val="both"/>
      </w:pPr>
    </w:p>
    <w:p w14:paraId="68BACF5E" w14:textId="77777777" w:rsidR="004F299E" w:rsidRDefault="004F299E">
      <w:pPr>
        <w:pStyle w:val="ConsPlusNormal"/>
        <w:jc w:val="both"/>
      </w:pPr>
    </w:p>
    <w:p w14:paraId="61B24634" w14:textId="77777777" w:rsidR="004F299E" w:rsidRDefault="004F299E">
      <w:pPr>
        <w:pStyle w:val="ConsPlusNormal"/>
        <w:jc w:val="right"/>
        <w:outlineLvl w:val="0"/>
      </w:pPr>
      <w:r>
        <w:t>Утвержден</w:t>
      </w:r>
    </w:p>
    <w:p w14:paraId="0F3C18CD" w14:textId="77777777" w:rsidR="004F299E" w:rsidRDefault="004F299E">
      <w:pPr>
        <w:pStyle w:val="ConsPlusNormal"/>
        <w:jc w:val="right"/>
      </w:pPr>
      <w:r>
        <w:t>приказом</w:t>
      </w:r>
    </w:p>
    <w:p w14:paraId="0F903722" w14:textId="77777777" w:rsidR="004F299E" w:rsidRDefault="004F299E">
      <w:pPr>
        <w:pStyle w:val="ConsPlusNormal"/>
        <w:jc w:val="right"/>
      </w:pPr>
      <w:r>
        <w:t>комитета государственной</w:t>
      </w:r>
    </w:p>
    <w:p w14:paraId="2A9FD1D8" w14:textId="77777777" w:rsidR="004F299E" w:rsidRDefault="004F299E">
      <w:pPr>
        <w:pStyle w:val="ConsPlusNormal"/>
        <w:jc w:val="right"/>
      </w:pPr>
      <w:r>
        <w:t>охраны объектов</w:t>
      </w:r>
    </w:p>
    <w:p w14:paraId="504211AD" w14:textId="77777777" w:rsidR="004F299E" w:rsidRDefault="004F299E">
      <w:pPr>
        <w:pStyle w:val="ConsPlusNormal"/>
        <w:jc w:val="right"/>
      </w:pPr>
      <w:r>
        <w:t>культурного наследия</w:t>
      </w:r>
    </w:p>
    <w:p w14:paraId="11ACFB42" w14:textId="77777777" w:rsidR="004F299E" w:rsidRDefault="004F299E">
      <w:pPr>
        <w:pStyle w:val="ConsPlusNormal"/>
        <w:jc w:val="right"/>
      </w:pPr>
      <w:r>
        <w:t>Волгоградской области</w:t>
      </w:r>
    </w:p>
    <w:p w14:paraId="342FCB8C" w14:textId="77777777" w:rsidR="004F299E" w:rsidRDefault="004F299E">
      <w:pPr>
        <w:pStyle w:val="ConsPlusNormal"/>
        <w:jc w:val="right"/>
      </w:pPr>
      <w:r>
        <w:lastRenderedPageBreak/>
        <w:t>от 03 сентября 2025 г. N 364-од</w:t>
      </w:r>
    </w:p>
    <w:p w14:paraId="28A09905" w14:textId="77777777" w:rsidR="004F299E" w:rsidRDefault="004F299E">
      <w:pPr>
        <w:pStyle w:val="ConsPlusNormal"/>
        <w:jc w:val="both"/>
      </w:pPr>
    </w:p>
    <w:p w14:paraId="341B2285" w14:textId="77777777" w:rsidR="004F299E" w:rsidRDefault="004F299E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100809A8" w14:textId="77777777" w:rsidR="004F299E" w:rsidRDefault="004F299E">
      <w:pPr>
        <w:pStyle w:val="ConsPlusTitle"/>
        <w:jc w:val="center"/>
      </w:pPr>
      <w:r>
        <w:t>ЗНАЧЕНИЯ "МЕЛЬНИЦА ПФЛЯУМЕРА", РАСПОЛОЖЕННОГО ПО АДРЕСУ:</w:t>
      </w:r>
    </w:p>
    <w:p w14:paraId="1F67347F" w14:textId="77777777" w:rsidR="004F299E" w:rsidRDefault="004F299E">
      <w:pPr>
        <w:pStyle w:val="ConsPlusTitle"/>
        <w:jc w:val="center"/>
      </w:pPr>
      <w:r>
        <w:t>ВОЛГОГРАДСКАЯ ОБЛАСТЬ, НИКОЛАЕВСКИЙ РАЙОН, РЯДОМ</w:t>
      </w:r>
    </w:p>
    <w:p w14:paraId="5555A408" w14:textId="77777777" w:rsidR="004F299E" w:rsidRDefault="004F299E">
      <w:pPr>
        <w:pStyle w:val="ConsPlusTitle"/>
        <w:jc w:val="center"/>
      </w:pPr>
      <w:r>
        <w:t>С РАЙЦЕНТРОМ Г. НИКОЛАЕВСК И ПАРОМНОЙ ПЕРЕПРАВОЙ ЧЕРЕЗ</w:t>
      </w:r>
    </w:p>
    <w:p w14:paraId="5182B413" w14:textId="77777777" w:rsidR="004F299E" w:rsidRDefault="004F299E">
      <w:pPr>
        <w:pStyle w:val="ConsPlusTitle"/>
        <w:jc w:val="center"/>
      </w:pPr>
      <w:r>
        <w:t>Р. ВОЛГУ</w:t>
      </w:r>
    </w:p>
    <w:p w14:paraId="1E432FB2" w14:textId="77777777" w:rsidR="004F299E" w:rsidRDefault="004F299E">
      <w:pPr>
        <w:pStyle w:val="ConsPlusNormal"/>
        <w:jc w:val="both"/>
      </w:pPr>
    </w:p>
    <w:p w14:paraId="12897DA2" w14:textId="77777777" w:rsidR="004F299E" w:rsidRDefault="004F299E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"Мельница </w:t>
      </w:r>
      <w:proofErr w:type="spellStart"/>
      <w:r>
        <w:t>Пфляумера</w:t>
      </w:r>
      <w:proofErr w:type="spellEnd"/>
      <w:r>
        <w:t>", расположенного по адресу: Волгоградская область, Николаевский район, рядом с райцентром г. Николаевск и паромной переправой через р. Волгу, являются:</w:t>
      </w:r>
    </w:p>
    <w:p w14:paraId="3FA56BA5" w14:textId="77777777" w:rsidR="004F299E" w:rsidRDefault="004F29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324"/>
        <w:gridCol w:w="3798"/>
      </w:tblGrid>
      <w:tr w:rsidR="004F299E" w14:paraId="79DC7C41" w14:textId="77777777">
        <w:tc>
          <w:tcPr>
            <w:tcW w:w="567" w:type="dxa"/>
          </w:tcPr>
          <w:p w14:paraId="481F70D5" w14:textId="77777777" w:rsidR="004F299E" w:rsidRDefault="004F299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793877B0" w14:textId="77777777" w:rsidR="004F299E" w:rsidRDefault="004F299E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324" w:type="dxa"/>
          </w:tcPr>
          <w:p w14:paraId="065492C0" w14:textId="77777777" w:rsidR="004F299E" w:rsidRDefault="004F299E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98" w:type="dxa"/>
          </w:tcPr>
          <w:p w14:paraId="758E944E" w14:textId="77777777" w:rsidR="004F299E" w:rsidRDefault="004F299E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4F299E" w14:paraId="05881B12" w14:textId="77777777">
        <w:tc>
          <w:tcPr>
            <w:tcW w:w="567" w:type="dxa"/>
          </w:tcPr>
          <w:p w14:paraId="1A97B6A3" w14:textId="77777777" w:rsidR="004F299E" w:rsidRDefault="004F299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494649C8" w14:textId="77777777" w:rsidR="004F299E" w:rsidRDefault="004F299E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324" w:type="dxa"/>
          </w:tcPr>
          <w:p w14:paraId="28894AD6" w14:textId="77777777" w:rsidR="004F299E" w:rsidRDefault="004F299E">
            <w:pPr>
              <w:pStyle w:val="ConsPlusNormal"/>
            </w:pPr>
            <w:r>
              <w:t>здание расположено на левом берегу р. Волга в стороне от г. Николаевск</w:t>
            </w:r>
          </w:p>
        </w:tc>
        <w:tc>
          <w:tcPr>
            <w:tcW w:w="3798" w:type="dxa"/>
          </w:tcPr>
          <w:p w14:paraId="3608AAAA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189"/>
              </w:rPr>
              <w:drawing>
                <wp:inline distT="0" distB="0" distL="0" distR="0" wp14:anchorId="02BFC709" wp14:editId="12434D69">
                  <wp:extent cx="2332990" cy="256349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56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99E" w14:paraId="01BC7959" w14:textId="77777777">
        <w:tc>
          <w:tcPr>
            <w:tcW w:w="567" w:type="dxa"/>
          </w:tcPr>
          <w:p w14:paraId="518336D0" w14:textId="77777777" w:rsidR="004F299E" w:rsidRDefault="004F299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31DAA906" w14:textId="77777777" w:rsidR="004F299E" w:rsidRDefault="004F299E">
            <w:pPr>
              <w:pStyle w:val="ConsPlusNormal"/>
            </w:pPr>
            <w:r>
              <w:t>Объемно-пространственная композиция объекта</w:t>
            </w:r>
          </w:p>
        </w:tc>
        <w:tc>
          <w:tcPr>
            <w:tcW w:w="2324" w:type="dxa"/>
          </w:tcPr>
          <w:p w14:paraId="2C930E64" w14:textId="77777777" w:rsidR="004F299E" w:rsidRDefault="004F299E">
            <w:pPr>
              <w:pStyle w:val="ConsPlusNormal"/>
            </w:pPr>
            <w:r>
              <w:t>сложное в плане 4-этажное здание</w:t>
            </w:r>
          </w:p>
        </w:tc>
        <w:tc>
          <w:tcPr>
            <w:tcW w:w="3798" w:type="dxa"/>
          </w:tcPr>
          <w:p w14:paraId="209BE98C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115"/>
              </w:rPr>
              <w:drawing>
                <wp:inline distT="0" distB="0" distL="0" distR="0" wp14:anchorId="3AFD5DE9" wp14:editId="250876EF">
                  <wp:extent cx="2332990" cy="1614170"/>
                  <wp:effectExtent l="0" t="0" r="0" b="0"/>
                  <wp:docPr id="7505347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61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5B63D2" w14:textId="77777777" w:rsidR="004F299E" w:rsidRDefault="004F299E">
            <w:pPr>
              <w:pStyle w:val="ConsPlusNormal"/>
            </w:pPr>
          </w:p>
          <w:p w14:paraId="05113F77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131"/>
              </w:rPr>
              <w:drawing>
                <wp:inline distT="0" distB="0" distL="0" distR="0" wp14:anchorId="50C766A5" wp14:editId="0CB9AE26">
                  <wp:extent cx="2332990" cy="1824990"/>
                  <wp:effectExtent l="0" t="0" r="0" b="0"/>
                  <wp:docPr id="10633086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82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99E" w14:paraId="390F24FA" w14:textId="77777777">
        <w:tc>
          <w:tcPr>
            <w:tcW w:w="567" w:type="dxa"/>
          </w:tcPr>
          <w:p w14:paraId="3687F8E4" w14:textId="77777777" w:rsidR="004F299E" w:rsidRDefault="004F299E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19640718" w14:textId="77777777" w:rsidR="004F299E" w:rsidRDefault="004F299E">
            <w:pPr>
              <w:pStyle w:val="ConsPlusNormal"/>
            </w:pPr>
            <w:r>
              <w:t>Крыша</w:t>
            </w:r>
          </w:p>
        </w:tc>
        <w:tc>
          <w:tcPr>
            <w:tcW w:w="2324" w:type="dxa"/>
          </w:tcPr>
          <w:p w14:paraId="2D70DA0B" w14:textId="77777777" w:rsidR="004F299E" w:rsidRDefault="004F299E">
            <w:pPr>
              <w:pStyle w:val="ConsPlusNormal"/>
            </w:pPr>
            <w:r>
              <w:t>форма крыши - двускатная</w:t>
            </w:r>
          </w:p>
        </w:tc>
        <w:tc>
          <w:tcPr>
            <w:tcW w:w="3798" w:type="dxa"/>
          </w:tcPr>
          <w:p w14:paraId="5D69A5EC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4A5A91FD" wp14:editId="0F9F7ADE">
                  <wp:extent cx="2332990" cy="1607185"/>
                  <wp:effectExtent l="0" t="0" r="0" b="0"/>
                  <wp:docPr id="15687299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60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99E" w14:paraId="79FF3A6C" w14:textId="77777777">
        <w:tc>
          <w:tcPr>
            <w:tcW w:w="567" w:type="dxa"/>
            <w:vMerge w:val="restart"/>
          </w:tcPr>
          <w:p w14:paraId="150A6749" w14:textId="77777777" w:rsidR="004F299E" w:rsidRDefault="004F299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  <w:vMerge w:val="restart"/>
          </w:tcPr>
          <w:p w14:paraId="4B29148A" w14:textId="77777777" w:rsidR="004F299E" w:rsidRDefault="004F299E">
            <w:pPr>
              <w:pStyle w:val="ConsPlusNormal"/>
            </w:pPr>
            <w:r>
              <w:t>Композиционное и архитектурно-художественное оформление юго-западного и северо-восточного фасадов (на период нач. XIX в.)</w:t>
            </w:r>
          </w:p>
        </w:tc>
        <w:tc>
          <w:tcPr>
            <w:tcW w:w="2324" w:type="dxa"/>
            <w:tcBorders>
              <w:bottom w:val="nil"/>
            </w:tcBorders>
          </w:tcPr>
          <w:p w14:paraId="0205D4BE" w14:textId="77777777" w:rsidR="004F299E" w:rsidRDefault="004F299E">
            <w:pPr>
              <w:pStyle w:val="ConsPlusNormal"/>
            </w:pPr>
            <w:r>
              <w:t>характер, ритм и размер вертикального и горизонтального членения фасадов в 2 световые оси (чердак в 1 световую ось), его декоративное убранство, включающее следующие элементы:</w:t>
            </w:r>
          </w:p>
        </w:tc>
        <w:tc>
          <w:tcPr>
            <w:tcW w:w="3798" w:type="dxa"/>
            <w:tcBorders>
              <w:bottom w:val="nil"/>
            </w:tcBorders>
          </w:tcPr>
          <w:p w14:paraId="34BF3200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232"/>
              </w:rPr>
              <w:drawing>
                <wp:inline distT="0" distB="0" distL="0" distR="0" wp14:anchorId="743955F6" wp14:editId="56A3AADD">
                  <wp:extent cx="2332990" cy="3103245"/>
                  <wp:effectExtent l="0" t="0" r="0" b="0"/>
                  <wp:docPr id="1759123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310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EDED97" w14:textId="77777777" w:rsidR="004F299E" w:rsidRDefault="004F299E">
            <w:pPr>
              <w:pStyle w:val="ConsPlusNormal"/>
            </w:pPr>
          </w:p>
          <w:p w14:paraId="33C07E31" w14:textId="77777777" w:rsidR="004F299E" w:rsidRDefault="004F299E">
            <w:pPr>
              <w:pStyle w:val="ConsPlusNormal"/>
              <w:jc w:val="center"/>
            </w:pPr>
            <w:r>
              <w:t>юго-западный фасад здания</w:t>
            </w:r>
          </w:p>
          <w:p w14:paraId="7AB5EA73" w14:textId="77777777" w:rsidR="004F299E" w:rsidRDefault="004F299E">
            <w:pPr>
              <w:pStyle w:val="ConsPlusNormal"/>
            </w:pPr>
          </w:p>
          <w:p w14:paraId="2FF03703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115"/>
              </w:rPr>
              <w:drawing>
                <wp:inline distT="0" distB="0" distL="0" distR="0" wp14:anchorId="5FDEBAB9" wp14:editId="7EAE2E42">
                  <wp:extent cx="2332990" cy="1614170"/>
                  <wp:effectExtent l="0" t="0" r="0" b="0"/>
                  <wp:docPr id="4930550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61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7B4409" w14:textId="77777777" w:rsidR="004F299E" w:rsidRDefault="004F299E">
            <w:pPr>
              <w:pStyle w:val="ConsPlusNormal"/>
            </w:pPr>
          </w:p>
          <w:p w14:paraId="6CEDCDDB" w14:textId="77777777" w:rsidR="004F299E" w:rsidRDefault="004F299E">
            <w:pPr>
              <w:pStyle w:val="ConsPlusNormal"/>
              <w:jc w:val="center"/>
            </w:pPr>
            <w:r>
              <w:t>северо-восточный фасад здания</w:t>
            </w:r>
          </w:p>
        </w:tc>
      </w:tr>
      <w:tr w:rsidR="004F299E" w14:paraId="7FFD8D7F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4F7148C7" w14:textId="77777777" w:rsidR="004F299E" w:rsidRDefault="004F299E">
            <w:pPr>
              <w:pStyle w:val="ConsPlusNormal"/>
            </w:pPr>
          </w:p>
        </w:tc>
        <w:tc>
          <w:tcPr>
            <w:tcW w:w="2381" w:type="dxa"/>
            <w:vMerge/>
          </w:tcPr>
          <w:p w14:paraId="4801EAC3" w14:textId="77777777" w:rsidR="004F299E" w:rsidRDefault="004F299E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0C9806F8" w14:textId="77777777" w:rsidR="004F299E" w:rsidRDefault="004F299E">
            <w:pPr>
              <w:pStyle w:val="ConsPlusNormal"/>
            </w:pPr>
            <w:r>
              <w:t xml:space="preserve">- резные деревянные наличники с сандриками, имеющими скаты от центра; материал заполнений оконных проемов (дерево); характер </w:t>
            </w:r>
            <w:proofErr w:type="spellStart"/>
            <w:r>
              <w:lastRenderedPageBreak/>
              <w:t>расстекловки</w:t>
            </w:r>
            <w:proofErr w:type="spellEnd"/>
            <w:r>
              <w:t xml:space="preserve"> оконных проемов;</w:t>
            </w:r>
          </w:p>
        </w:tc>
        <w:tc>
          <w:tcPr>
            <w:tcW w:w="3798" w:type="dxa"/>
            <w:tcBorders>
              <w:top w:val="nil"/>
              <w:bottom w:val="nil"/>
            </w:tcBorders>
          </w:tcPr>
          <w:p w14:paraId="3F50208D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86"/>
              </w:rPr>
              <w:lastRenderedPageBreak/>
              <w:drawing>
                <wp:inline distT="0" distB="0" distL="0" distR="0" wp14:anchorId="7B319F1F" wp14:editId="39B25FEC">
                  <wp:extent cx="2332990" cy="1245235"/>
                  <wp:effectExtent l="0" t="0" r="0" b="0"/>
                  <wp:docPr id="17872758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245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99E" w14:paraId="60E344F4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3D2A3DE5" w14:textId="77777777" w:rsidR="004F299E" w:rsidRDefault="004F299E">
            <w:pPr>
              <w:pStyle w:val="ConsPlusNormal"/>
            </w:pPr>
          </w:p>
        </w:tc>
        <w:tc>
          <w:tcPr>
            <w:tcW w:w="2381" w:type="dxa"/>
            <w:vMerge/>
          </w:tcPr>
          <w:p w14:paraId="18953E4E" w14:textId="77777777" w:rsidR="004F299E" w:rsidRDefault="004F299E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3083EE15" w14:textId="77777777" w:rsidR="004F299E" w:rsidRDefault="004F299E">
            <w:pPr>
              <w:pStyle w:val="ConsPlusNormal"/>
            </w:pPr>
            <w:r>
              <w:t>- бревенчатые лопатки;</w:t>
            </w:r>
          </w:p>
        </w:tc>
        <w:tc>
          <w:tcPr>
            <w:tcW w:w="3798" w:type="dxa"/>
            <w:tcBorders>
              <w:top w:val="nil"/>
              <w:bottom w:val="nil"/>
            </w:tcBorders>
          </w:tcPr>
          <w:p w14:paraId="50517ADD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225"/>
              </w:rPr>
              <w:drawing>
                <wp:inline distT="0" distB="0" distL="0" distR="0" wp14:anchorId="0B16BDB9" wp14:editId="027925A6">
                  <wp:extent cx="863600" cy="3020695"/>
                  <wp:effectExtent l="0" t="0" r="0" b="0"/>
                  <wp:docPr id="19379354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3020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99E" w14:paraId="7869EBF4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09D92839" w14:textId="77777777" w:rsidR="004F299E" w:rsidRDefault="004F299E">
            <w:pPr>
              <w:pStyle w:val="ConsPlusNormal"/>
            </w:pPr>
          </w:p>
        </w:tc>
        <w:tc>
          <w:tcPr>
            <w:tcW w:w="2381" w:type="dxa"/>
            <w:vMerge/>
          </w:tcPr>
          <w:p w14:paraId="6AE8D58A" w14:textId="77777777" w:rsidR="004F299E" w:rsidRDefault="004F299E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0155103D" w14:textId="77777777" w:rsidR="004F299E" w:rsidRDefault="004F299E">
            <w:pPr>
              <w:pStyle w:val="ConsPlusNormal"/>
            </w:pPr>
            <w:r>
              <w:t xml:space="preserve">- резные деревянные наличники оконных проемов чердака; материал заполнения оконных проемов (дерево); характер </w:t>
            </w:r>
            <w:proofErr w:type="spellStart"/>
            <w:r>
              <w:t>расстекловки</w:t>
            </w:r>
            <w:proofErr w:type="spellEnd"/>
            <w:r>
              <w:t xml:space="preserve"> оконных проемов;</w:t>
            </w:r>
          </w:p>
        </w:tc>
        <w:tc>
          <w:tcPr>
            <w:tcW w:w="3798" w:type="dxa"/>
            <w:tcBorders>
              <w:top w:val="nil"/>
              <w:bottom w:val="nil"/>
            </w:tcBorders>
          </w:tcPr>
          <w:p w14:paraId="375CA670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176"/>
              </w:rPr>
              <w:drawing>
                <wp:inline distT="0" distB="0" distL="0" distR="0" wp14:anchorId="7CA5F0B2" wp14:editId="050FE0FE">
                  <wp:extent cx="2332990" cy="2392045"/>
                  <wp:effectExtent l="0" t="0" r="0" b="0"/>
                  <wp:docPr id="9294498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39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99E" w14:paraId="23302C8E" w14:textId="77777777">
        <w:tc>
          <w:tcPr>
            <w:tcW w:w="567" w:type="dxa"/>
            <w:vMerge/>
          </w:tcPr>
          <w:p w14:paraId="128DF012" w14:textId="77777777" w:rsidR="004F299E" w:rsidRDefault="004F299E">
            <w:pPr>
              <w:pStyle w:val="ConsPlusNormal"/>
            </w:pPr>
          </w:p>
        </w:tc>
        <w:tc>
          <w:tcPr>
            <w:tcW w:w="2381" w:type="dxa"/>
            <w:vMerge/>
          </w:tcPr>
          <w:p w14:paraId="6A3FA2E6" w14:textId="77777777" w:rsidR="004F299E" w:rsidRDefault="004F299E">
            <w:pPr>
              <w:pStyle w:val="ConsPlusNormal"/>
            </w:pPr>
          </w:p>
        </w:tc>
        <w:tc>
          <w:tcPr>
            <w:tcW w:w="2324" w:type="dxa"/>
            <w:tcBorders>
              <w:top w:val="nil"/>
            </w:tcBorders>
          </w:tcPr>
          <w:p w14:paraId="265952E2" w14:textId="77777777" w:rsidR="004F299E" w:rsidRDefault="004F299E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798" w:type="dxa"/>
            <w:tcBorders>
              <w:top w:val="nil"/>
            </w:tcBorders>
          </w:tcPr>
          <w:p w14:paraId="4BCD6F35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38"/>
              </w:rPr>
              <w:drawing>
                <wp:inline distT="0" distB="0" distL="0" distR="0" wp14:anchorId="4D373249" wp14:editId="5990F555">
                  <wp:extent cx="2332990" cy="638810"/>
                  <wp:effectExtent l="0" t="0" r="0" b="0"/>
                  <wp:docPr id="10872439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638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99E" w14:paraId="2584030E" w14:textId="77777777">
        <w:tc>
          <w:tcPr>
            <w:tcW w:w="567" w:type="dxa"/>
            <w:vMerge w:val="restart"/>
          </w:tcPr>
          <w:p w14:paraId="0A2A176F" w14:textId="77777777" w:rsidR="004F299E" w:rsidRDefault="004F299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  <w:vMerge w:val="restart"/>
          </w:tcPr>
          <w:p w14:paraId="0BD1BA9E" w14:textId="77777777" w:rsidR="004F299E" w:rsidRDefault="004F299E">
            <w:pPr>
              <w:pStyle w:val="ConsPlusNormal"/>
            </w:pPr>
            <w:r>
              <w:t>Композиционное и архитектурно-художественное оформление юго-восточного и северо-западного фасадов (на период нач. XIX в.)</w:t>
            </w:r>
          </w:p>
        </w:tc>
        <w:tc>
          <w:tcPr>
            <w:tcW w:w="2324" w:type="dxa"/>
            <w:tcBorders>
              <w:bottom w:val="nil"/>
            </w:tcBorders>
          </w:tcPr>
          <w:p w14:paraId="07F10935" w14:textId="77777777" w:rsidR="004F299E" w:rsidRDefault="004F299E">
            <w:pPr>
              <w:pStyle w:val="ConsPlusNormal"/>
            </w:pPr>
            <w:r>
              <w:t>характер, ритм и размер вертикального и горизонтального членения фасадов в 8 световых осей, его декоративное убранство, включающее следующие элементы:</w:t>
            </w:r>
          </w:p>
        </w:tc>
        <w:tc>
          <w:tcPr>
            <w:tcW w:w="3798" w:type="dxa"/>
            <w:tcBorders>
              <w:bottom w:val="nil"/>
            </w:tcBorders>
          </w:tcPr>
          <w:p w14:paraId="44FAE682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115"/>
              </w:rPr>
              <w:drawing>
                <wp:inline distT="0" distB="0" distL="0" distR="0" wp14:anchorId="29209D6A" wp14:editId="6343B5AF">
                  <wp:extent cx="2332990" cy="1620520"/>
                  <wp:effectExtent l="0" t="0" r="0" b="0"/>
                  <wp:docPr id="18956813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62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69E22A" w14:textId="77777777" w:rsidR="004F299E" w:rsidRDefault="004F299E">
            <w:pPr>
              <w:pStyle w:val="ConsPlusNormal"/>
            </w:pPr>
          </w:p>
          <w:p w14:paraId="41165666" w14:textId="77777777" w:rsidR="004F299E" w:rsidRDefault="004F299E">
            <w:pPr>
              <w:pStyle w:val="ConsPlusNormal"/>
              <w:jc w:val="center"/>
            </w:pPr>
            <w:r>
              <w:t>северо-западный фасад здания</w:t>
            </w:r>
          </w:p>
          <w:p w14:paraId="10FD6B89" w14:textId="77777777" w:rsidR="004F299E" w:rsidRDefault="004F299E">
            <w:pPr>
              <w:pStyle w:val="ConsPlusNormal"/>
            </w:pPr>
          </w:p>
          <w:p w14:paraId="6513307F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103"/>
              </w:rPr>
              <w:drawing>
                <wp:inline distT="0" distB="0" distL="0" distR="0" wp14:anchorId="379DF409" wp14:editId="41A7C19B">
                  <wp:extent cx="2332990" cy="1462405"/>
                  <wp:effectExtent l="0" t="0" r="0" b="0"/>
                  <wp:docPr id="1778612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462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386E26" w14:textId="77777777" w:rsidR="004F299E" w:rsidRDefault="004F299E">
            <w:pPr>
              <w:pStyle w:val="ConsPlusNormal"/>
            </w:pPr>
          </w:p>
          <w:p w14:paraId="0BE684DE" w14:textId="77777777" w:rsidR="004F299E" w:rsidRDefault="004F299E">
            <w:pPr>
              <w:pStyle w:val="ConsPlusNormal"/>
              <w:jc w:val="center"/>
            </w:pPr>
            <w:r>
              <w:t>юго-западный фасад здания</w:t>
            </w:r>
          </w:p>
        </w:tc>
      </w:tr>
      <w:tr w:rsidR="004F299E" w14:paraId="21E10801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5475F1B9" w14:textId="77777777" w:rsidR="004F299E" w:rsidRDefault="004F299E">
            <w:pPr>
              <w:pStyle w:val="ConsPlusNormal"/>
            </w:pPr>
          </w:p>
        </w:tc>
        <w:tc>
          <w:tcPr>
            <w:tcW w:w="2381" w:type="dxa"/>
            <w:vMerge/>
          </w:tcPr>
          <w:p w14:paraId="4BC7248B" w14:textId="77777777" w:rsidR="004F299E" w:rsidRDefault="004F299E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31D1B646" w14:textId="77777777" w:rsidR="004F299E" w:rsidRDefault="004F299E">
            <w:pPr>
              <w:pStyle w:val="ConsPlusNormal"/>
            </w:pPr>
            <w:r>
              <w:t xml:space="preserve">- резные деревянные наличники с сандриками, имеющими скаты от центра; материал заполнений оконных проемов (дерево); характер </w:t>
            </w:r>
            <w:proofErr w:type="spellStart"/>
            <w:r>
              <w:t>расстекловки</w:t>
            </w:r>
            <w:proofErr w:type="spellEnd"/>
            <w:r>
              <w:t xml:space="preserve"> оконных проемов;</w:t>
            </w:r>
          </w:p>
        </w:tc>
        <w:tc>
          <w:tcPr>
            <w:tcW w:w="3798" w:type="dxa"/>
            <w:tcBorders>
              <w:top w:val="nil"/>
              <w:bottom w:val="nil"/>
            </w:tcBorders>
          </w:tcPr>
          <w:p w14:paraId="554A63BC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165"/>
              </w:rPr>
              <w:drawing>
                <wp:inline distT="0" distB="0" distL="0" distR="0" wp14:anchorId="5BBB23F5" wp14:editId="355F673D">
                  <wp:extent cx="2332990" cy="2253615"/>
                  <wp:effectExtent l="0" t="0" r="0" b="0"/>
                  <wp:docPr id="11105937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25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99E" w14:paraId="6741E7D7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50FCC6A2" w14:textId="77777777" w:rsidR="004F299E" w:rsidRDefault="004F299E">
            <w:pPr>
              <w:pStyle w:val="ConsPlusNormal"/>
            </w:pPr>
          </w:p>
        </w:tc>
        <w:tc>
          <w:tcPr>
            <w:tcW w:w="2381" w:type="dxa"/>
            <w:vMerge/>
          </w:tcPr>
          <w:p w14:paraId="0C5D1E81" w14:textId="77777777" w:rsidR="004F299E" w:rsidRDefault="004F299E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6B67F2AF" w14:textId="77777777" w:rsidR="004F299E" w:rsidRDefault="004F299E">
            <w:pPr>
              <w:pStyle w:val="ConsPlusNormal"/>
            </w:pPr>
            <w:r>
              <w:t>- бревенчатые лопатки;</w:t>
            </w:r>
          </w:p>
        </w:tc>
        <w:tc>
          <w:tcPr>
            <w:tcW w:w="3798" w:type="dxa"/>
            <w:tcBorders>
              <w:top w:val="nil"/>
              <w:bottom w:val="nil"/>
            </w:tcBorders>
          </w:tcPr>
          <w:p w14:paraId="0DD609C8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187"/>
              </w:rPr>
              <w:drawing>
                <wp:inline distT="0" distB="0" distL="0" distR="0" wp14:anchorId="280864F4" wp14:editId="6515BDA7">
                  <wp:extent cx="863600" cy="2530475"/>
                  <wp:effectExtent l="0" t="0" r="0" b="0"/>
                  <wp:docPr id="7412018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253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99E" w14:paraId="5810C115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6668070F" w14:textId="77777777" w:rsidR="004F299E" w:rsidRDefault="004F299E">
            <w:pPr>
              <w:pStyle w:val="ConsPlusNormal"/>
            </w:pPr>
          </w:p>
        </w:tc>
        <w:tc>
          <w:tcPr>
            <w:tcW w:w="2381" w:type="dxa"/>
            <w:vMerge/>
          </w:tcPr>
          <w:p w14:paraId="3FE3B021" w14:textId="77777777" w:rsidR="004F299E" w:rsidRDefault="004F299E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1CE8A820" w14:textId="77777777" w:rsidR="004F299E" w:rsidRDefault="004F299E">
            <w:pPr>
              <w:pStyle w:val="ConsPlusNormal"/>
            </w:pPr>
            <w:r>
              <w:t>- слуховые оконные проемы под двускатной кровлей;</w:t>
            </w:r>
          </w:p>
        </w:tc>
        <w:tc>
          <w:tcPr>
            <w:tcW w:w="3798" w:type="dxa"/>
            <w:tcBorders>
              <w:top w:val="nil"/>
              <w:bottom w:val="nil"/>
            </w:tcBorders>
          </w:tcPr>
          <w:p w14:paraId="248687B4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39"/>
              </w:rPr>
              <w:drawing>
                <wp:inline distT="0" distB="0" distL="0" distR="0" wp14:anchorId="0E19A7C8" wp14:editId="09465DA8">
                  <wp:extent cx="2332990" cy="658495"/>
                  <wp:effectExtent l="0" t="0" r="0" b="0"/>
                  <wp:docPr id="10859289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658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99E" w14:paraId="4BE35B05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15CC216B" w14:textId="77777777" w:rsidR="004F299E" w:rsidRDefault="004F299E">
            <w:pPr>
              <w:pStyle w:val="ConsPlusNormal"/>
            </w:pPr>
          </w:p>
        </w:tc>
        <w:tc>
          <w:tcPr>
            <w:tcW w:w="2381" w:type="dxa"/>
            <w:vMerge/>
          </w:tcPr>
          <w:p w14:paraId="532AB0BB" w14:textId="77777777" w:rsidR="004F299E" w:rsidRDefault="004F299E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27CACBE1" w14:textId="77777777" w:rsidR="004F299E" w:rsidRDefault="004F299E">
            <w:pPr>
              <w:pStyle w:val="ConsPlusNormal"/>
            </w:pPr>
            <w:r>
              <w:t>- венчающий карниз;</w:t>
            </w:r>
          </w:p>
        </w:tc>
        <w:tc>
          <w:tcPr>
            <w:tcW w:w="3798" w:type="dxa"/>
            <w:tcBorders>
              <w:top w:val="nil"/>
              <w:bottom w:val="nil"/>
            </w:tcBorders>
          </w:tcPr>
          <w:p w14:paraId="29FC3754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9"/>
              </w:rPr>
              <w:drawing>
                <wp:inline distT="0" distB="0" distL="0" distR="0" wp14:anchorId="6B8399C5" wp14:editId="32AF0D0F">
                  <wp:extent cx="2332990" cy="276860"/>
                  <wp:effectExtent l="0" t="0" r="0" b="0"/>
                  <wp:docPr id="1922724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7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99E" w14:paraId="279A7BC8" w14:textId="77777777">
        <w:tc>
          <w:tcPr>
            <w:tcW w:w="567" w:type="dxa"/>
            <w:vMerge/>
          </w:tcPr>
          <w:p w14:paraId="6C27AFEC" w14:textId="77777777" w:rsidR="004F299E" w:rsidRDefault="004F299E">
            <w:pPr>
              <w:pStyle w:val="ConsPlusNormal"/>
            </w:pPr>
          </w:p>
        </w:tc>
        <w:tc>
          <w:tcPr>
            <w:tcW w:w="2381" w:type="dxa"/>
            <w:vMerge/>
          </w:tcPr>
          <w:p w14:paraId="4994DA29" w14:textId="77777777" w:rsidR="004F299E" w:rsidRDefault="004F299E">
            <w:pPr>
              <w:pStyle w:val="ConsPlusNormal"/>
            </w:pPr>
          </w:p>
        </w:tc>
        <w:tc>
          <w:tcPr>
            <w:tcW w:w="2324" w:type="dxa"/>
            <w:tcBorders>
              <w:top w:val="nil"/>
            </w:tcBorders>
          </w:tcPr>
          <w:p w14:paraId="6E82203F" w14:textId="77777777" w:rsidR="004F299E" w:rsidRDefault="004F299E">
            <w:pPr>
              <w:pStyle w:val="ConsPlusNormal"/>
            </w:pPr>
            <w:r>
              <w:t>- деревянные тамбуры входов в здание под двускатной кровлей (на северо-западном фасаде); прямоугольные оконные проемы в простых плоских наличниках; материал заполнений оконных проемов (дерево);</w:t>
            </w:r>
          </w:p>
          <w:p w14:paraId="111C0A6C" w14:textId="77777777" w:rsidR="004F299E" w:rsidRDefault="004F299E">
            <w:pPr>
              <w:pStyle w:val="ConsPlusNormal"/>
            </w:pPr>
            <w:r>
              <w:t xml:space="preserve">характер </w:t>
            </w:r>
            <w:proofErr w:type="spellStart"/>
            <w:r>
              <w:t>расстекловки</w:t>
            </w:r>
            <w:proofErr w:type="spellEnd"/>
            <w:r>
              <w:t xml:space="preserve"> оконных проемов; венчающий карниз</w:t>
            </w:r>
          </w:p>
        </w:tc>
        <w:tc>
          <w:tcPr>
            <w:tcW w:w="3798" w:type="dxa"/>
            <w:tcBorders>
              <w:top w:val="nil"/>
            </w:tcBorders>
          </w:tcPr>
          <w:p w14:paraId="7BC89CAF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50"/>
              </w:rPr>
              <w:drawing>
                <wp:inline distT="0" distB="0" distL="0" distR="0" wp14:anchorId="0094C0E9" wp14:editId="65B9508E">
                  <wp:extent cx="2332990" cy="796925"/>
                  <wp:effectExtent l="0" t="0" r="0" b="0"/>
                  <wp:docPr id="4201743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79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2FE267" w14:textId="77777777" w:rsidR="004F299E" w:rsidRDefault="004F299E">
            <w:pPr>
              <w:pStyle w:val="ConsPlusNormal"/>
            </w:pPr>
          </w:p>
          <w:p w14:paraId="7A0D7AEE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11545459" wp14:editId="6B348377">
                  <wp:extent cx="1725930" cy="1601470"/>
                  <wp:effectExtent l="0" t="0" r="0" b="0"/>
                  <wp:docPr id="17314544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930" cy="160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3203C7" w14:textId="77777777" w:rsidR="004F299E" w:rsidRDefault="004F299E">
            <w:pPr>
              <w:pStyle w:val="ConsPlusNormal"/>
            </w:pPr>
          </w:p>
          <w:p w14:paraId="03C7EB4C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16"/>
              </w:rPr>
              <w:drawing>
                <wp:inline distT="0" distB="0" distL="0" distR="0" wp14:anchorId="58A461B8" wp14:editId="3545A27E">
                  <wp:extent cx="2332990" cy="355600"/>
                  <wp:effectExtent l="0" t="0" r="0" b="0"/>
                  <wp:docPr id="8430568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99E" w14:paraId="3BA9B627" w14:textId="77777777">
        <w:tc>
          <w:tcPr>
            <w:tcW w:w="567" w:type="dxa"/>
            <w:vMerge w:val="restart"/>
          </w:tcPr>
          <w:p w14:paraId="6C8B71D5" w14:textId="77777777" w:rsidR="004F299E" w:rsidRDefault="004F299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  <w:vMerge w:val="restart"/>
          </w:tcPr>
          <w:p w14:paraId="3C9AF1D7" w14:textId="77777777" w:rsidR="004F299E" w:rsidRDefault="004F299E">
            <w:pPr>
              <w:pStyle w:val="ConsPlusNormal"/>
            </w:pPr>
            <w:r>
              <w:t>Форма, размер и характер заполнения оконных и дверных проемов</w:t>
            </w:r>
          </w:p>
        </w:tc>
        <w:tc>
          <w:tcPr>
            <w:tcW w:w="2324" w:type="dxa"/>
            <w:tcBorders>
              <w:bottom w:val="nil"/>
            </w:tcBorders>
          </w:tcPr>
          <w:p w14:paraId="1F3C8984" w14:textId="77777777" w:rsidR="004F299E" w:rsidRDefault="004F299E">
            <w:pPr>
              <w:pStyle w:val="ConsPlusNormal"/>
            </w:pPr>
            <w:r>
              <w:t>лучковые заполнения оконных проемов, их размер и характер заполнения;</w:t>
            </w:r>
          </w:p>
        </w:tc>
        <w:tc>
          <w:tcPr>
            <w:tcW w:w="3798" w:type="dxa"/>
            <w:tcBorders>
              <w:bottom w:val="nil"/>
            </w:tcBorders>
          </w:tcPr>
          <w:p w14:paraId="70746092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115"/>
              </w:rPr>
              <w:drawing>
                <wp:inline distT="0" distB="0" distL="0" distR="0" wp14:anchorId="4B777CA9" wp14:editId="41F644C6">
                  <wp:extent cx="2332990" cy="1614170"/>
                  <wp:effectExtent l="0" t="0" r="0" b="0"/>
                  <wp:docPr id="15259031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61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99E" w14:paraId="61A06066" w14:textId="77777777">
        <w:tc>
          <w:tcPr>
            <w:tcW w:w="567" w:type="dxa"/>
            <w:vMerge/>
          </w:tcPr>
          <w:p w14:paraId="78BDCC68" w14:textId="77777777" w:rsidR="004F299E" w:rsidRDefault="004F299E">
            <w:pPr>
              <w:pStyle w:val="ConsPlusNormal"/>
            </w:pPr>
          </w:p>
        </w:tc>
        <w:tc>
          <w:tcPr>
            <w:tcW w:w="2381" w:type="dxa"/>
            <w:vMerge/>
          </w:tcPr>
          <w:p w14:paraId="2457B49C" w14:textId="77777777" w:rsidR="004F299E" w:rsidRDefault="004F299E">
            <w:pPr>
              <w:pStyle w:val="ConsPlusNormal"/>
            </w:pPr>
          </w:p>
        </w:tc>
        <w:tc>
          <w:tcPr>
            <w:tcW w:w="2324" w:type="dxa"/>
            <w:tcBorders>
              <w:top w:val="nil"/>
            </w:tcBorders>
          </w:tcPr>
          <w:p w14:paraId="53B87DD7" w14:textId="77777777" w:rsidR="004F299E" w:rsidRDefault="004F299E">
            <w:pPr>
              <w:pStyle w:val="ConsPlusNormal"/>
            </w:pPr>
            <w:r>
              <w:t>прямоугольные заполнения дверных проемов</w:t>
            </w:r>
          </w:p>
        </w:tc>
        <w:tc>
          <w:tcPr>
            <w:tcW w:w="3798" w:type="dxa"/>
            <w:tcBorders>
              <w:top w:val="nil"/>
            </w:tcBorders>
          </w:tcPr>
          <w:p w14:paraId="67C091A5" w14:textId="77777777" w:rsidR="004F299E" w:rsidRDefault="004F299E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drawing>
                <wp:inline distT="0" distB="0" distL="0" distR="0" wp14:anchorId="1FB9308E" wp14:editId="1E887C26">
                  <wp:extent cx="2332990" cy="1554480"/>
                  <wp:effectExtent l="0" t="0" r="0" b="0"/>
                  <wp:docPr id="16326249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99E" w14:paraId="16CD18AF" w14:textId="77777777">
        <w:tc>
          <w:tcPr>
            <w:tcW w:w="567" w:type="dxa"/>
          </w:tcPr>
          <w:p w14:paraId="609F13C0" w14:textId="77777777" w:rsidR="004F299E" w:rsidRDefault="004F299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51C59FC4" w14:textId="77777777" w:rsidR="004F299E" w:rsidRDefault="004F299E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324" w:type="dxa"/>
          </w:tcPr>
          <w:p w14:paraId="258EF513" w14:textId="77777777" w:rsidR="004F299E" w:rsidRDefault="004F299E">
            <w:pPr>
              <w:pStyle w:val="ConsPlusNormal"/>
            </w:pPr>
            <w:r>
              <w:t xml:space="preserve">бревенчатые капитальные стены, сложенные "в </w:t>
            </w:r>
            <w:proofErr w:type="spellStart"/>
            <w:r>
              <w:t>обло</w:t>
            </w:r>
            <w:proofErr w:type="spellEnd"/>
            <w:r>
              <w:t>"</w:t>
            </w:r>
          </w:p>
        </w:tc>
        <w:tc>
          <w:tcPr>
            <w:tcW w:w="3798" w:type="dxa"/>
          </w:tcPr>
          <w:p w14:paraId="785CAFB1" w14:textId="77777777" w:rsidR="004F299E" w:rsidRDefault="004F299E">
            <w:pPr>
              <w:pStyle w:val="ConsPlusNormal"/>
            </w:pPr>
          </w:p>
        </w:tc>
      </w:tr>
    </w:tbl>
    <w:p w14:paraId="55389CF5" w14:textId="77777777" w:rsidR="004F299E" w:rsidRDefault="004F299E">
      <w:pPr>
        <w:pStyle w:val="ConsPlusNormal"/>
        <w:jc w:val="both"/>
      </w:pPr>
    </w:p>
    <w:p w14:paraId="77EA435C" w14:textId="77777777" w:rsidR="004F299E" w:rsidRDefault="004F299E">
      <w:pPr>
        <w:pStyle w:val="ConsPlusNormal"/>
        <w:jc w:val="both"/>
      </w:pPr>
    </w:p>
    <w:p w14:paraId="712710E3" w14:textId="77777777" w:rsidR="004F299E" w:rsidRDefault="004F299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7B2617A" w14:textId="77777777" w:rsidR="004F299E" w:rsidRDefault="004F299E"/>
    <w:sectPr w:rsidR="004F299E" w:rsidSect="004F2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99E"/>
    <w:rsid w:val="004F299E"/>
    <w:rsid w:val="00C5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EAFA9"/>
  <w15:chartTrackingRefBased/>
  <w15:docId w15:val="{07D24F09-F1A6-43B7-BBFD-D50C30A3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2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2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29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2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29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29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29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29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29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29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29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29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29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29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29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29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29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29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2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2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2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2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2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29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29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29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29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29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299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4F29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F29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F299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yperlink" Target="consultantplus://offline/ref=7136001394ED6DDB9D4D39C53F4AD963B943510561E478C4BBE24712AF17E1295A5B7C9825471449423CD34B95C17A6648609C0AAF8B9FFCD4F81BE9pCx9K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136001394ED6DDB9D4D27C829268666BB480D0E61EC7395E1B74145F047E77C1A1B7ACD660319494237871BD19F23350F2B9009B2979EFFpCxFK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hyperlink" Target="consultantplus://offline/ref=7136001394ED6DDB9D4D27C829268666BD410C096AEC7395E1B74145F047E77C081B22C1640007494322D14A97pCxFK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792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2025-11-23T10:49:00Z</dcterms:created>
  <dcterms:modified xsi:type="dcterms:W3CDTF">2025-11-23T10:50:00Z</dcterms:modified>
</cp:coreProperties>
</file>