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54D0F" w14:textId="1DDC3899" w:rsidR="00697AF9" w:rsidRDefault="00697AF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97AF9">
        <w:t>Приказ комитета государственной охраны объектов культурного наследия Волгоградской обл. от 07.11.2025 N 88-н "Об утверждении предмета охраны объекта культурного наследия регионального значения "Жилые дома", расположенного по адресу (местонахождение): Волгоградская область, г. Волгоград, Советский район, станция Ельшанка, 8 км"</w:t>
      </w:r>
    </w:p>
    <w:p w14:paraId="5CEA2458" w14:textId="77777777" w:rsidR="00697AF9" w:rsidRDefault="00697AF9">
      <w:pPr>
        <w:pStyle w:val="ConsPlusNormal"/>
        <w:jc w:val="both"/>
        <w:outlineLvl w:val="0"/>
      </w:pPr>
    </w:p>
    <w:p w14:paraId="1D813364" w14:textId="77777777" w:rsidR="00697AF9" w:rsidRDefault="00697AF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09D3AA1" w14:textId="77777777" w:rsidR="00697AF9" w:rsidRDefault="00697AF9">
      <w:pPr>
        <w:pStyle w:val="ConsPlusTitle"/>
        <w:jc w:val="center"/>
      </w:pPr>
      <w:r>
        <w:t>КУЛЬТУРНОГО НАСЛЕДИЯ ВОЛГОГРАДСКОЙ ОБЛАСТИ</w:t>
      </w:r>
    </w:p>
    <w:p w14:paraId="2ADEE7EA" w14:textId="77777777" w:rsidR="00697AF9" w:rsidRDefault="00697AF9">
      <w:pPr>
        <w:pStyle w:val="ConsPlusTitle"/>
        <w:jc w:val="both"/>
      </w:pPr>
    </w:p>
    <w:p w14:paraId="4473C30B" w14:textId="77777777" w:rsidR="00697AF9" w:rsidRDefault="00697AF9">
      <w:pPr>
        <w:pStyle w:val="ConsPlusTitle"/>
        <w:jc w:val="center"/>
      </w:pPr>
      <w:r>
        <w:t>ПРИКАЗ</w:t>
      </w:r>
    </w:p>
    <w:p w14:paraId="280E4378" w14:textId="77777777" w:rsidR="00697AF9" w:rsidRDefault="00697AF9">
      <w:pPr>
        <w:pStyle w:val="ConsPlusTitle"/>
        <w:jc w:val="center"/>
      </w:pPr>
      <w:r>
        <w:t>от 7 ноября 2025 г. N 88-н</w:t>
      </w:r>
    </w:p>
    <w:p w14:paraId="463F12E2" w14:textId="77777777" w:rsidR="00697AF9" w:rsidRDefault="00697AF9">
      <w:pPr>
        <w:pStyle w:val="ConsPlusTitle"/>
        <w:jc w:val="both"/>
      </w:pPr>
    </w:p>
    <w:p w14:paraId="7CC43C18" w14:textId="77777777" w:rsidR="00697AF9" w:rsidRDefault="00697AF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F425650" w14:textId="77777777" w:rsidR="00697AF9" w:rsidRDefault="00697AF9">
      <w:pPr>
        <w:pStyle w:val="ConsPlusTitle"/>
        <w:jc w:val="center"/>
      </w:pPr>
      <w:r>
        <w:t>РЕГИОНАЛЬНОГО ЗНАЧЕНИЯ "ЖИЛЫЕ ДОМА", РАСПОЛОЖЕННОГО</w:t>
      </w:r>
    </w:p>
    <w:p w14:paraId="7EF5FC9F" w14:textId="77777777" w:rsidR="00697AF9" w:rsidRDefault="00697AF9">
      <w:pPr>
        <w:pStyle w:val="ConsPlusTitle"/>
        <w:jc w:val="center"/>
      </w:pPr>
      <w:r>
        <w:t>ПО АДРЕСУ (МЕСТОНАХОЖДЕНИЕ): ВОЛГОГРАДСКАЯ ОБЛАСТЬ,</w:t>
      </w:r>
    </w:p>
    <w:p w14:paraId="3DE95D7E" w14:textId="77777777" w:rsidR="00697AF9" w:rsidRDefault="00697AF9">
      <w:pPr>
        <w:pStyle w:val="ConsPlusTitle"/>
        <w:jc w:val="center"/>
      </w:pPr>
      <w:r>
        <w:t>Г. ВОЛГОГРАД, СОВЕТСКИЙ РАЙОН, СТАНЦИЯ ЕЛЬШАНКА, 8 КМ</w:t>
      </w:r>
    </w:p>
    <w:p w14:paraId="3CB47CD2" w14:textId="77777777" w:rsidR="00697AF9" w:rsidRDefault="00697AF9">
      <w:pPr>
        <w:pStyle w:val="ConsPlusNormal"/>
        <w:jc w:val="both"/>
      </w:pPr>
    </w:p>
    <w:p w14:paraId="73255A27" w14:textId="77777777" w:rsidR="00697AF9" w:rsidRDefault="00697AF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B009083" w14:textId="77777777" w:rsidR="00697AF9" w:rsidRDefault="00697AF9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"Жилые дома", расположенного по адресу (местонахождение): Волгоградская область, г. Волгоград, Советский район, станция Ельшанка, 8 км.</w:t>
      </w:r>
    </w:p>
    <w:p w14:paraId="5FB4E5A7" w14:textId="77777777" w:rsidR="00697AF9" w:rsidRDefault="00697AF9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9DB1F72" w14:textId="77777777" w:rsidR="00697AF9" w:rsidRDefault="00697AF9">
      <w:pPr>
        <w:pStyle w:val="ConsPlusNormal"/>
        <w:jc w:val="both"/>
      </w:pPr>
    </w:p>
    <w:p w14:paraId="265221D8" w14:textId="77777777" w:rsidR="00697AF9" w:rsidRDefault="00697AF9">
      <w:pPr>
        <w:pStyle w:val="ConsPlusNormal"/>
        <w:jc w:val="right"/>
      </w:pPr>
      <w:r>
        <w:t>Председатель комитета</w:t>
      </w:r>
    </w:p>
    <w:p w14:paraId="37E9359C" w14:textId="77777777" w:rsidR="00697AF9" w:rsidRDefault="00697AF9">
      <w:pPr>
        <w:pStyle w:val="ConsPlusNormal"/>
        <w:jc w:val="right"/>
      </w:pPr>
      <w:r>
        <w:t>А.Ю.БАЖЕНОВ</w:t>
      </w:r>
    </w:p>
    <w:p w14:paraId="08BA68DC" w14:textId="77777777" w:rsidR="00697AF9" w:rsidRDefault="00697AF9">
      <w:pPr>
        <w:pStyle w:val="ConsPlusNormal"/>
        <w:jc w:val="both"/>
      </w:pPr>
    </w:p>
    <w:p w14:paraId="72556276" w14:textId="77777777" w:rsidR="00697AF9" w:rsidRDefault="00697AF9">
      <w:pPr>
        <w:pStyle w:val="ConsPlusNormal"/>
        <w:jc w:val="both"/>
      </w:pPr>
    </w:p>
    <w:p w14:paraId="50AF3EF4" w14:textId="77777777" w:rsidR="00697AF9" w:rsidRDefault="00697AF9">
      <w:pPr>
        <w:pStyle w:val="ConsPlusNormal"/>
        <w:jc w:val="both"/>
      </w:pPr>
    </w:p>
    <w:p w14:paraId="6E0EFAAB" w14:textId="77777777" w:rsidR="00697AF9" w:rsidRDefault="00697AF9">
      <w:pPr>
        <w:pStyle w:val="ConsPlusNormal"/>
        <w:jc w:val="both"/>
      </w:pPr>
    </w:p>
    <w:p w14:paraId="4FB35EC4" w14:textId="77777777" w:rsidR="00697AF9" w:rsidRDefault="00697AF9">
      <w:pPr>
        <w:pStyle w:val="ConsPlusNormal"/>
        <w:jc w:val="both"/>
      </w:pPr>
    </w:p>
    <w:p w14:paraId="2F476DBB" w14:textId="77777777" w:rsidR="00697AF9" w:rsidRDefault="00697AF9">
      <w:pPr>
        <w:pStyle w:val="ConsPlusNormal"/>
        <w:jc w:val="right"/>
        <w:outlineLvl w:val="0"/>
      </w:pPr>
      <w:r>
        <w:t>Утвержден</w:t>
      </w:r>
    </w:p>
    <w:p w14:paraId="62496151" w14:textId="77777777" w:rsidR="00697AF9" w:rsidRDefault="00697AF9">
      <w:pPr>
        <w:pStyle w:val="ConsPlusNormal"/>
        <w:jc w:val="right"/>
      </w:pPr>
      <w:r>
        <w:t>приказом</w:t>
      </w:r>
    </w:p>
    <w:p w14:paraId="34275E15" w14:textId="77777777" w:rsidR="00697AF9" w:rsidRDefault="00697AF9">
      <w:pPr>
        <w:pStyle w:val="ConsPlusNormal"/>
        <w:jc w:val="right"/>
      </w:pPr>
      <w:r>
        <w:t>комитета государственной</w:t>
      </w:r>
    </w:p>
    <w:p w14:paraId="6551168E" w14:textId="77777777" w:rsidR="00697AF9" w:rsidRDefault="00697AF9">
      <w:pPr>
        <w:pStyle w:val="ConsPlusNormal"/>
        <w:jc w:val="right"/>
      </w:pPr>
      <w:r>
        <w:t>охраны объектов</w:t>
      </w:r>
    </w:p>
    <w:p w14:paraId="72DB3800" w14:textId="77777777" w:rsidR="00697AF9" w:rsidRDefault="00697AF9">
      <w:pPr>
        <w:pStyle w:val="ConsPlusNormal"/>
        <w:jc w:val="right"/>
      </w:pPr>
      <w:r>
        <w:t>культурного наследия</w:t>
      </w:r>
    </w:p>
    <w:p w14:paraId="5F003FD9" w14:textId="77777777" w:rsidR="00697AF9" w:rsidRDefault="00697AF9">
      <w:pPr>
        <w:pStyle w:val="ConsPlusNormal"/>
        <w:jc w:val="right"/>
      </w:pPr>
      <w:r>
        <w:t>Волгоградской области</w:t>
      </w:r>
    </w:p>
    <w:p w14:paraId="279E5EBF" w14:textId="77777777" w:rsidR="00697AF9" w:rsidRDefault="00697AF9">
      <w:pPr>
        <w:pStyle w:val="ConsPlusNormal"/>
        <w:jc w:val="right"/>
      </w:pPr>
      <w:r>
        <w:t>от 07 ноября 2025 г. N 88-н</w:t>
      </w:r>
    </w:p>
    <w:p w14:paraId="01A582FB" w14:textId="77777777" w:rsidR="00697AF9" w:rsidRDefault="00697AF9">
      <w:pPr>
        <w:pStyle w:val="ConsPlusNormal"/>
        <w:jc w:val="both"/>
      </w:pPr>
    </w:p>
    <w:p w14:paraId="459E967F" w14:textId="77777777" w:rsidR="00697AF9" w:rsidRDefault="00697AF9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700072A2" w14:textId="77777777" w:rsidR="00697AF9" w:rsidRDefault="00697AF9">
      <w:pPr>
        <w:pStyle w:val="ConsPlusTitle"/>
        <w:jc w:val="center"/>
      </w:pPr>
      <w:r>
        <w:t>ЗНАЧЕНИЯ "ЖИЛЫЕ ДОМА", РАСПОЛОЖЕННОГО ПО АДРЕСУ</w:t>
      </w:r>
    </w:p>
    <w:p w14:paraId="5C3A96C1" w14:textId="77777777" w:rsidR="00697AF9" w:rsidRDefault="00697AF9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EB64527" w14:textId="77777777" w:rsidR="00697AF9" w:rsidRDefault="00697AF9">
      <w:pPr>
        <w:pStyle w:val="ConsPlusTitle"/>
        <w:jc w:val="center"/>
      </w:pPr>
      <w:r>
        <w:t>СОВЕТСКИЙ РАЙОН, СТАНЦИЯ ЕЛЬШАНКА, 8 КМ &lt;1&gt;</w:t>
      </w:r>
    </w:p>
    <w:p w14:paraId="4187B73E" w14:textId="77777777" w:rsidR="00697AF9" w:rsidRDefault="00697AF9">
      <w:pPr>
        <w:pStyle w:val="ConsPlusNormal"/>
        <w:jc w:val="both"/>
      </w:pPr>
    </w:p>
    <w:p w14:paraId="0E8DA9B5" w14:textId="77777777" w:rsidR="00697AF9" w:rsidRDefault="00697AF9">
      <w:pPr>
        <w:pStyle w:val="ConsPlusNormal"/>
        <w:ind w:firstLine="540"/>
        <w:jc w:val="both"/>
      </w:pPr>
      <w:r>
        <w:t>--------------------------------</w:t>
      </w:r>
    </w:p>
    <w:p w14:paraId="6BB4329C" w14:textId="77777777" w:rsidR="00697AF9" w:rsidRDefault="00697AF9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B066ACD" w14:textId="77777777" w:rsidR="00697AF9" w:rsidRDefault="00697AF9">
      <w:pPr>
        <w:pStyle w:val="ConsPlusNormal"/>
        <w:jc w:val="both"/>
      </w:pPr>
    </w:p>
    <w:p w14:paraId="403C3C79" w14:textId="77777777" w:rsidR="00697AF9" w:rsidRDefault="00697AF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"Жилые дома", расположенного по адресу (местонахождение): Волгоградская область, г. Волгоград, Советский район, станция Ельшанка, 8 км, являются:</w:t>
      </w:r>
    </w:p>
    <w:p w14:paraId="61E8CD7D" w14:textId="77777777" w:rsidR="00697AF9" w:rsidRDefault="00697A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268"/>
        <w:gridCol w:w="3912"/>
      </w:tblGrid>
      <w:tr w:rsidR="00697AF9" w14:paraId="0B9A99C2" w14:textId="77777777">
        <w:tc>
          <w:tcPr>
            <w:tcW w:w="567" w:type="dxa"/>
          </w:tcPr>
          <w:p w14:paraId="3B2024F4" w14:textId="77777777" w:rsidR="00697AF9" w:rsidRDefault="00697AF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5B3677BC" w14:textId="77777777" w:rsidR="00697AF9" w:rsidRDefault="00697AF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268" w:type="dxa"/>
          </w:tcPr>
          <w:p w14:paraId="539C51FE" w14:textId="77777777" w:rsidR="00697AF9" w:rsidRDefault="00697AF9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12" w:type="dxa"/>
          </w:tcPr>
          <w:p w14:paraId="2F02704A" w14:textId="77777777" w:rsidR="00697AF9" w:rsidRDefault="00697AF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97AF9" w14:paraId="13224DFA" w14:textId="77777777">
        <w:tc>
          <w:tcPr>
            <w:tcW w:w="567" w:type="dxa"/>
          </w:tcPr>
          <w:p w14:paraId="450956E8" w14:textId="77777777" w:rsidR="00697AF9" w:rsidRDefault="00697AF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1257DB4D" w14:textId="77777777" w:rsidR="00697AF9" w:rsidRDefault="00697AF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268" w:type="dxa"/>
          </w:tcPr>
          <w:p w14:paraId="4F84C45B" w14:textId="77777777" w:rsidR="00697AF9" w:rsidRDefault="00697AF9">
            <w:pPr>
              <w:pStyle w:val="ConsPlusNormal"/>
            </w:pPr>
            <w:r>
              <w:t>группа из двух жилых домов с хозяйственными постройками, расположенными на обособленном участке в полосе отвода железной дороги между дополнительными и основными ж/д путями (к юго-западу от ж/д станции "Ельшанка")</w:t>
            </w:r>
          </w:p>
        </w:tc>
        <w:tc>
          <w:tcPr>
            <w:tcW w:w="3912" w:type="dxa"/>
          </w:tcPr>
          <w:p w14:paraId="336DB76B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256"/>
              </w:rPr>
              <w:drawing>
                <wp:inline distT="0" distB="0" distL="0" distR="0" wp14:anchorId="4FAF0185" wp14:editId="07DA2635">
                  <wp:extent cx="2405380" cy="34036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40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74D12D7B" w14:textId="77777777">
        <w:tc>
          <w:tcPr>
            <w:tcW w:w="567" w:type="dxa"/>
          </w:tcPr>
          <w:p w14:paraId="26163BF3" w14:textId="77777777" w:rsidR="00697AF9" w:rsidRDefault="00697AF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3E06A1BC" w14:textId="77777777" w:rsidR="00697AF9" w:rsidRDefault="00697AF9">
            <w:pPr>
              <w:pStyle w:val="ConsPlusNormal"/>
            </w:pPr>
            <w:r>
              <w:t>Объемно-пространственная композиция зданий</w:t>
            </w:r>
          </w:p>
        </w:tc>
        <w:tc>
          <w:tcPr>
            <w:tcW w:w="2268" w:type="dxa"/>
          </w:tcPr>
          <w:p w14:paraId="1F777594" w14:textId="77777777" w:rsidR="00697AF9" w:rsidRDefault="00697AF9">
            <w:pPr>
              <w:pStyle w:val="ConsPlusNormal"/>
            </w:pPr>
            <w:r>
              <w:t>прямоугольные в плане 1-этажные здания - два жилых дома и отдельно стоящая хозяйственная постройка</w:t>
            </w:r>
          </w:p>
        </w:tc>
        <w:tc>
          <w:tcPr>
            <w:tcW w:w="3912" w:type="dxa"/>
          </w:tcPr>
          <w:p w14:paraId="44E65ECB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84"/>
              </w:rPr>
              <w:drawing>
                <wp:inline distT="0" distB="0" distL="0" distR="0" wp14:anchorId="56F87F64" wp14:editId="163C0BC1">
                  <wp:extent cx="2405380" cy="1229995"/>
                  <wp:effectExtent l="0" t="0" r="0" b="0"/>
                  <wp:docPr id="8641457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22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F7C25" w14:textId="77777777" w:rsidR="00697AF9" w:rsidRDefault="00697AF9">
            <w:pPr>
              <w:pStyle w:val="ConsPlusNormal"/>
            </w:pPr>
          </w:p>
          <w:p w14:paraId="36DA6E95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lastRenderedPageBreak/>
              <w:drawing>
                <wp:inline distT="0" distB="0" distL="0" distR="0" wp14:anchorId="189B9839" wp14:editId="242B8386">
                  <wp:extent cx="2405380" cy="1562735"/>
                  <wp:effectExtent l="0" t="0" r="0" b="0"/>
                  <wp:docPr id="6396112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6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1C9C168B" w14:textId="77777777">
        <w:tc>
          <w:tcPr>
            <w:tcW w:w="567" w:type="dxa"/>
          </w:tcPr>
          <w:p w14:paraId="17CAC258" w14:textId="77777777" w:rsidR="00697AF9" w:rsidRDefault="00697AF9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588E6AC8" w14:textId="77777777" w:rsidR="00697AF9" w:rsidRDefault="00697AF9">
            <w:pPr>
              <w:pStyle w:val="ConsPlusNormal"/>
            </w:pPr>
            <w:r>
              <w:t>Крыша зданий</w:t>
            </w:r>
          </w:p>
        </w:tc>
        <w:tc>
          <w:tcPr>
            <w:tcW w:w="2268" w:type="dxa"/>
          </w:tcPr>
          <w:p w14:paraId="6AA35910" w14:textId="77777777" w:rsidR="00697AF9" w:rsidRDefault="00697AF9">
            <w:pPr>
              <w:pStyle w:val="ConsPlusNormal"/>
            </w:pPr>
            <w:r>
              <w:t>форма крыши жилых домов - двускатная;</w:t>
            </w:r>
          </w:p>
          <w:p w14:paraId="179CB5EC" w14:textId="77777777" w:rsidR="00697AF9" w:rsidRDefault="00697AF9">
            <w:pPr>
              <w:pStyle w:val="ConsPlusNormal"/>
            </w:pPr>
          </w:p>
          <w:p w14:paraId="71FBE2EB" w14:textId="77777777" w:rsidR="00697AF9" w:rsidRDefault="00697AF9">
            <w:pPr>
              <w:pStyle w:val="ConsPlusNormal"/>
            </w:pPr>
            <w:r>
              <w:t>форма крыши хозяйственной постройки - односкатная;</w:t>
            </w:r>
          </w:p>
          <w:p w14:paraId="673D3673" w14:textId="77777777" w:rsidR="00697AF9" w:rsidRDefault="00697AF9">
            <w:pPr>
              <w:pStyle w:val="ConsPlusNormal"/>
            </w:pPr>
          </w:p>
          <w:p w14:paraId="325EB4F7" w14:textId="77777777" w:rsidR="00697AF9" w:rsidRDefault="00697AF9">
            <w:pPr>
              <w:pStyle w:val="ConsPlusNormal"/>
            </w:pPr>
            <w:r>
              <w:t>деревянные конструкции кровли - бабка коньковой слеги с горизонтальной затяжкой и кронштейны, поддерживающие свесы кровли на торцевых фасадах жилых домов;</w:t>
            </w:r>
          </w:p>
          <w:p w14:paraId="765143BD" w14:textId="77777777" w:rsidR="00697AF9" w:rsidRDefault="00697AF9">
            <w:pPr>
              <w:pStyle w:val="ConsPlusNormal"/>
            </w:pPr>
          </w:p>
          <w:p w14:paraId="26A0ABF6" w14:textId="77777777" w:rsidR="00697AF9" w:rsidRDefault="00697AF9">
            <w:pPr>
              <w:pStyle w:val="ConsPlusNormal"/>
            </w:pPr>
            <w:r>
              <w:t>деревянные выпуски стропил крыши хозяйственной постройки</w:t>
            </w:r>
          </w:p>
        </w:tc>
        <w:tc>
          <w:tcPr>
            <w:tcW w:w="3912" w:type="dxa"/>
          </w:tcPr>
          <w:p w14:paraId="7CF1D168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346163BA" wp14:editId="173BAB51">
                  <wp:extent cx="2405380" cy="1549400"/>
                  <wp:effectExtent l="0" t="0" r="0" b="0"/>
                  <wp:docPr id="4358891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4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FB8933" w14:textId="77777777" w:rsidR="00697AF9" w:rsidRDefault="00697AF9">
            <w:pPr>
              <w:pStyle w:val="ConsPlusNormal"/>
            </w:pPr>
          </w:p>
          <w:p w14:paraId="43CB64A2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01"/>
              </w:rPr>
              <w:drawing>
                <wp:inline distT="0" distB="0" distL="0" distR="0" wp14:anchorId="6728069C" wp14:editId="059273C1">
                  <wp:extent cx="2405380" cy="1447165"/>
                  <wp:effectExtent l="0" t="0" r="0" b="0"/>
                  <wp:docPr id="18968675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08566" w14:textId="77777777" w:rsidR="00697AF9" w:rsidRDefault="00697AF9">
            <w:pPr>
              <w:pStyle w:val="ConsPlusNormal"/>
            </w:pPr>
          </w:p>
          <w:p w14:paraId="7C6A7F21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 wp14:anchorId="5E6F67DC" wp14:editId="72F05E53">
                  <wp:extent cx="2405380" cy="1419225"/>
                  <wp:effectExtent l="0" t="0" r="0" b="0"/>
                  <wp:docPr id="13124397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6CB64586" w14:textId="77777777">
        <w:tc>
          <w:tcPr>
            <w:tcW w:w="567" w:type="dxa"/>
            <w:vMerge w:val="restart"/>
          </w:tcPr>
          <w:p w14:paraId="2B198839" w14:textId="77777777" w:rsidR="00697AF9" w:rsidRDefault="00697AF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  <w:vMerge w:val="restart"/>
          </w:tcPr>
          <w:p w14:paraId="0D8BAF41" w14:textId="77777777" w:rsidR="00697AF9" w:rsidRDefault="00697AF9">
            <w:pPr>
              <w:pStyle w:val="ConsPlusNormal"/>
            </w:pPr>
            <w:r>
              <w:t>Композиционное и архитектурно-художественное оформление фасадов жилого дома N 10а</w:t>
            </w:r>
          </w:p>
        </w:tc>
        <w:tc>
          <w:tcPr>
            <w:tcW w:w="2268" w:type="dxa"/>
            <w:tcBorders>
              <w:bottom w:val="nil"/>
            </w:tcBorders>
          </w:tcPr>
          <w:p w14:paraId="42CEFB19" w14:textId="77777777" w:rsidR="00697AF9" w:rsidRDefault="00697AF9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983C78D" w14:textId="77777777" w:rsidR="00697AF9" w:rsidRDefault="00697AF9">
            <w:pPr>
              <w:pStyle w:val="ConsPlusNormal"/>
            </w:pPr>
            <w:r>
              <w:t>- западающее крыльцо;</w:t>
            </w:r>
          </w:p>
          <w:p w14:paraId="6F8B1B0D" w14:textId="77777777" w:rsidR="00697AF9" w:rsidRDefault="00697AF9">
            <w:pPr>
              <w:pStyle w:val="ConsPlusNormal"/>
            </w:pPr>
            <w:r>
              <w:t xml:space="preserve">- выступающий </w:t>
            </w:r>
            <w:r>
              <w:lastRenderedPageBreak/>
              <w:t>цоколь;</w:t>
            </w:r>
          </w:p>
          <w:p w14:paraId="4699AFB8" w14:textId="77777777" w:rsidR="00697AF9" w:rsidRDefault="00697AF9">
            <w:pPr>
              <w:pStyle w:val="ConsPlusNormal"/>
            </w:pPr>
            <w:r>
              <w:t>- прямоугольный слуховой оконный проем на северо-западном (торцевом) фасаде;</w:t>
            </w:r>
          </w:p>
        </w:tc>
        <w:tc>
          <w:tcPr>
            <w:tcW w:w="3912" w:type="dxa"/>
            <w:tcBorders>
              <w:bottom w:val="nil"/>
            </w:tcBorders>
          </w:tcPr>
          <w:p w14:paraId="10F6F233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68"/>
              </w:rPr>
              <w:lastRenderedPageBreak/>
              <w:drawing>
                <wp:inline distT="0" distB="0" distL="0" distR="0" wp14:anchorId="0A5F9C94" wp14:editId="11068826">
                  <wp:extent cx="2405380" cy="2296795"/>
                  <wp:effectExtent l="0" t="0" r="0" b="0"/>
                  <wp:docPr id="722519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29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19D70FB5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27960BF5" w14:textId="77777777" w:rsidR="00697AF9" w:rsidRDefault="00697AF9">
            <w:pPr>
              <w:pStyle w:val="ConsPlusNormal"/>
            </w:pPr>
          </w:p>
        </w:tc>
        <w:tc>
          <w:tcPr>
            <w:tcW w:w="2324" w:type="dxa"/>
            <w:vMerge/>
          </w:tcPr>
          <w:p w14:paraId="42558D98" w14:textId="77777777" w:rsidR="00697AF9" w:rsidRDefault="00697AF9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725E705" w14:textId="77777777" w:rsidR="00697AF9" w:rsidRDefault="00697AF9">
            <w:pPr>
              <w:pStyle w:val="ConsPlusNormal"/>
            </w:pPr>
            <w:r>
              <w:t>- пояс в верхней части оконных проемов;</w:t>
            </w:r>
          </w:p>
          <w:p w14:paraId="341C8CC0" w14:textId="77777777" w:rsidR="00697AF9" w:rsidRDefault="00697AF9">
            <w:pPr>
              <w:pStyle w:val="ConsPlusNormal"/>
            </w:pPr>
            <w:r>
              <w:t>- лучковые оконные проемы и их наличники на торцевых фасадах - окантовка лучковой перемычки, трехчастный замковый камень, боковые прямоугольные элементы с уступами, подоконные полочки и фартук;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465064BC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42A1DDFD" wp14:editId="56CE17FD">
                  <wp:extent cx="2405380" cy="1766570"/>
                  <wp:effectExtent l="0" t="0" r="0" b="0"/>
                  <wp:docPr id="708484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76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3568FA" w14:textId="77777777" w:rsidR="00697AF9" w:rsidRDefault="00697AF9">
            <w:pPr>
              <w:pStyle w:val="ConsPlusNormal"/>
            </w:pPr>
          </w:p>
          <w:p w14:paraId="3D08E8C8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204"/>
              </w:rPr>
              <w:drawing>
                <wp:inline distT="0" distB="0" distL="0" distR="0" wp14:anchorId="3B7B2006" wp14:editId="7D885B38">
                  <wp:extent cx="2405380" cy="2745105"/>
                  <wp:effectExtent l="0" t="0" r="0" b="0"/>
                  <wp:docPr id="17165729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74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48C11E0D" w14:textId="77777777">
        <w:tc>
          <w:tcPr>
            <w:tcW w:w="567" w:type="dxa"/>
            <w:vMerge/>
          </w:tcPr>
          <w:p w14:paraId="6A825E6E" w14:textId="77777777" w:rsidR="00697AF9" w:rsidRDefault="00697AF9">
            <w:pPr>
              <w:pStyle w:val="ConsPlusNormal"/>
            </w:pPr>
          </w:p>
        </w:tc>
        <w:tc>
          <w:tcPr>
            <w:tcW w:w="2324" w:type="dxa"/>
            <w:vMerge/>
          </w:tcPr>
          <w:p w14:paraId="266D8D56" w14:textId="77777777" w:rsidR="00697AF9" w:rsidRDefault="00697AF9">
            <w:pPr>
              <w:pStyle w:val="ConsPlusNormal"/>
            </w:pPr>
          </w:p>
        </w:tc>
        <w:tc>
          <w:tcPr>
            <w:tcW w:w="2268" w:type="dxa"/>
            <w:tcBorders>
              <w:top w:val="nil"/>
            </w:tcBorders>
          </w:tcPr>
          <w:p w14:paraId="53D3DAE2" w14:textId="77777777" w:rsidR="00697AF9" w:rsidRDefault="00697AF9">
            <w:pPr>
              <w:pStyle w:val="ConsPlusNormal"/>
            </w:pPr>
            <w:r>
              <w:t>- прямоугольные оконные проемы с клинчатой перемычкой, подоконной полочкой и фартуком на юго-западном (боковом) фасаде</w:t>
            </w:r>
          </w:p>
        </w:tc>
        <w:tc>
          <w:tcPr>
            <w:tcW w:w="3912" w:type="dxa"/>
            <w:tcBorders>
              <w:top w:val="nil"/>
            </w:tcBorders>
          </w:tcPr>
          <w:p w14:paraId="0180E440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55"/>
              </w:rPr>
              <w:drawing>
                <wp:inline distT="0" distB="0" distL="0" distR="0" wp14:anchorId="732079C3" wp14:editId="3FEC28F3">
                  <wp:extent cx="2405380" cy="2132965"/>
                  <wp:effectExtent l="0" t="0" r="0" b="0"/>
                  <wp:docPr id="306270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32D4010B" w14:textId="77777777">
        <w:tc>
          <w:tcPr>
            <w:tcW w:w="567" w:type="dxa"/>
            <w:vMerge w:val="restart"/>
          </w:tcPr>
          <w:p w14:paraId="33AAB869" w14:textId="77777777" w:rsidR="00697AF9" w:rsidRDefault="00697AF9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  <w:vMerge w:val="restart"/>
          </w:tcPr>
          <w:p w14:paraId="3771515D" w14:textId="77777777" w:rsidR="00697AF9" w:rsidRDefault="00697AF9">
            <w:pPr>
              <w:pStyle w:val="ConsPlusNormal"/>
            </w:pPr>
            <w:r>
              <w:t>Композиционное и архитектурно-художественное оформление фасадов жилого дома N 11</w:t>
            </w:r>
          </w:p>
        </w:tc>
        <w:tc>
          <w:tcPr>
            <w:tcW w:w="2268" w:type="dxa"/>
            <w:tcBorders>
              <w:bottom w:val="nil"/>
            </w:tcBorders>
          </w:tcPr>
          <w:p w14:paraId="114B1FA0" w14:textId="77777777" w:rsidR="00697AF9" w:rsidRDefault="00697AF9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0A08F181" w14:textId="77777777" w:rsidR="00697AF9" w:rsidRDefault="00697AF9">
            <w:pPr>
              <w:pStyle w:val="ConsPlusNormal"/>
            </w:pPr>
            <w:r>
              <w:t>- цоколь;</w:t>
            </w:r>
          </w:p>
          <w:p w14:paraId="14259411" w14:textId="77777777" w:rsidR="00697AF9" w:rsidRDefault="00697AF9">
            <w:pPr>
              <w:pStyle w:val="ConsPlusNormal"/>
            </w:pPr>
            <w:r>
              <w:t>- угловые лопатки;</w:t>
            </w:r>
          </w:p>
        </w:tc>
        <w:tc>
          <w:tcPr>
            <w:tcW w:w="3912" w:type="dxa"/>
            <w:tcBorders>
              <w:bottom w:val="nil"/>
            </w:tcBorders>
          </w:tcPr>
          <w:p w14:paraId="00AE1E7B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61EBB689" wp14:editId="2AC691D1">
                  <wp:extent cx="2405380" cy="1609725"/>
                  <wp:effectExtent l="0" t="0" r="0" b="0"/>
                  <wp:docPr id="4416566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697F9A50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0A38CADB" w14:textId="77777777" w:rsidR="00697AF9" w:rsidRDefault="00697AF9">
            <w:pPr>
              <w:pStyle w:val="ConsPlusNormal"/>
            </w:pPr>
          </w:p>
        </w:tc>
        <w:tc>
          <w:tcPr>
            <w:tcW w:w="2324" w:type="dxa"/>
            <w:vMerge/>
          </w:tcPr>
          <w:p w14:paraId="3FCAF9F4" w14:textId="77777777" w:rsidR="00697AF9" w:rsidRDefault="00697AF9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8E3E549" w14:textId="77777777" w:rsidR="00697AF9" w:rsidRDefault="00697AF9">
            <w:pPr>
              <w:pStyle w:val="ConsPlusNormal"/>
            </w:pPr>
            <w:r>
              <w:t>- полочка под слуховым оконным проемом на северо-западном (торцевом) фасаде;</w:t>
            </w:r>
          </w:p>
          <w:p w14:paraId="09E00960" w14:textId="77777777" w:rsidR="00697AF9" w:rsidRDefault="00697AF9">
            <w:pPr>
              <w:pStyle w:val="ConsPlusNormal"/>
            </w:pPr>
            <w:r>
              <w:t>- клинчатая перемычка слухового оконного проема;</w:t>
            </w:r>
          </w:p>
          <w:p w14:paraId="72D451E8" w14:textId="77777777" w:rsidR="00697AF9" w:rsidRDefault="00697AF9">
            <w:pPr>
              <w:pStyle w:val="ConsPlusNormal"/>
            </w:pPr>
            <w:r>
              <w:t>- пояс в верхней части оконных проемов;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56572DA9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ED4D5EB" wp14:editId="661F6DCA">
                  <wp:extent cx="2405380" cy="1535430"/>
                  <wp:effectExtent l="0" t="0" r="0" b="0"/>
                  <wp:docPr id="3252579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3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72D5558D" w14:textId="77777777">
        <w:tc>
          <w:tcPr>
            <w:tcW w:w="567" w:type="dxa"/>
            <w:vMerge/>
          </w:tcPr>
          <w:p w14:paraId="5F4FDACF" w14:textId="77777777" w:rsidR="00697AF9" w:rsidRDefault="00697AF9">
            <w:pPr>
              <w:pStyle w:val="ConsPlusNormal"/>
            </w:pPr>
          </w:p>
        </w:tc>
        <w:tc>
          <w:tcPr>
            <w:tcW w:w="2324" w:type="dxa"/>
            <w:vMerge/>
          </w:tcPr>
          <w:p w14:paraId="158A18AF" w14:textId="77777777" w:rsidR="00697AF9" w:rsidRDefault="00697AF9">
            <w:pPr>
              <w:pStyle w:val="ConsPlusNormal"/>
            </w:pPr>
          </w:p>
        </w:tc>
        <w:tc>
          <w:tcPr>
            <w:tcW w:w="2268" w:type="dxa"/>
            <w:tcBorders>
              <w:top w:val="nil"/>
            </w:tcBorders>
          </w:tcPr>
          <w:p w14:paraId="6DE1B11C" w14:textId="77777777" w:rsidR="00697AF9" w:rsidRDefault="00697AF9">
            <w:pPr>
              <w:pStyle w:val="ConsPlusNormal"/>
            </w:pPr>
            <w:r>
              <w:t>- лучковые оконные проемы и их наличники на торцевых фасадах - окантовка лучковой перемычки, замковый камень, боковые прямоугольные элементы с уступами, подоконные полочки и фартук</w:t>
            </w:r>
          </w:p>
        </w:tc>
        <w:tc>
          <w:tcPr>
            <w:tcW w:w="3912" w:type="dxa"/>
            <w:tcBorders>
              <w:top w:val="nil"/>
            </w:tcBorders>
          </w:tcPr>
          <w:p w14:paraId="06548094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5EC3BAEB" wp14:editId="15E6AFBA">
                  <wp:extent cx="2405380" cy="1691640"/>
                  <wp:effectExtent l="0" t="0" r="0" b="0"/>
                  <wp:docPr id="13248736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66CAF72B" w14:textId="77777777">
        <w:tc>
          <w:tcPr>
            <w:tcW w:w="567" w:type="dxa"/>
          </w:tcPr>
          <w:p w14:paraId="7D3FED5E" w14:textId="77777777" w:rsidR="00697AF9" w:rsidRDefault="00697AF9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188225C3" w14:textId="77777777" w:rsidR="00697AF9" w:rsidRDefault="00697AF9">
            <w:pPr>
              <w:pStyle w:val="ConsPlusNormal"/>
            </w:pPr>
            <w:r>
              <w:t>Композиционное и архитектурно-художественное оформление фасадов хозяйственной постройки</w:t>
            </w:r>
          </w:p>
        </w:tc>
        <w:tc>
          <w:tcPr>
            <w:tcW w:w="2268" w:type="dxa"/>
          </w:tcPr>
          <w:p w14:paraId="53EF71FF" w14:textId="77777777" w:rsidR="00697AF9" w:rsidRDefault="00697AF9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23F51A68" w14:textId="77777777" w:rsidR="00697AF9" w:rsidRDefault="00697AF9">
            <w:pPr>
              <w:pStyle w:val="ConsPlusNormal"/>
            </w:pPr>
            <w:r>
              <w:t>- цоколь;</w:t>
            </w:r>
          </w:p>
          <w:p w14:paraId="0D02C84C" w14:textId="77777777" w:rsidR="00697AF9" w:rsidRDefault="00697AF9">
            <w:pPr>
              <w:pStyle w:val="ConsPlusNormal"/>
            </w:pPr>
            <w:r>
              <w:t>- пояс в верхней части оконных и дверных проемов;</w:t>
            </w:r>
          </w:p>
          <w:p w14:paraId="3ECACE25" w14:textId="77777777" w:rsidR="00697AF9" w:rsidRDefault="00697AF9">
            <w:pPr>
              <w:pStyle w:val="ConsPlusNormal"/>
            </w:pPr>
            <w:r>
              <w:t>- лучковые проемы и их наличники на торцевых фасадах - окантовка лучковой перемычки, замковый камень, боковые прямоугольные элементы с уступами</w:t>
            </w:r>
          </w:p>
        </w:tc>
        <w:tc>
          <w:tcPr>
            <w:tcW w:w="3912" w:type="dxa"/>
          </w:tcPr>
          <w:p w14:paraId="055346AC" w14:textId="77777777" w:rsidR="00697AF9" w:rsidRDefault="00697AF9">
            <w:pPr>
              <w:pStyle w:val="ConsPlusNormal"/>
              <w:jc w:val="center"/>
            </w:pPr>
            <w:r>
              <w:rPr>
                <w:noProof/>
                <w:position w:val="-135"/>
              </w:rPr>
              <w:drawing>
                <wp:inline distT="0" distB="0" distL="0" distR="0" wp14:anchorId="4DF02AB1" wp14:editId="11A2A404">
                  <wp:extent cx="2405380" cy="1868170"/>
                  <wp:effectExtent l="0" t="0" r="0" b="0"/>
                  <wp:docPr id="10438060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F9" w14:paraId="11D869C2" w14:textId="77777777">
        <w:tc>
          <w:tcPr>
            <w:tcW w:w="567" w:type="dxa"/>
          </w:tcPr>
          <w:p w14:paraId="13791FCA" w14:textId="77777777" w:rsidR="00697AF9" w:rsidRDefault="00697AF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24" w:type="dxa"/>
          </w:tcPr>
          <w:p w14:paraId="28C542D4" w14:textId="77777777" w:rsidR="00697AF9" w:rsidRDefault="00697AF9">
            <w:pPr>
              <w:pStyle w:val="ConsPlusNormal"/>
            </w:pPr>
            <w:r>
              <w:t>Конструктивные элементы зданий</w:t>
            </w:r>
          </w:p>
        </w:tc>
        <w:tc>
          <w:tcPr>
            <w:tcW w:w="2268" w:type="dxa"/>
          </w:tcPr>
          <w:p w14:paraId="32A18C91" w14:textId="77777777" w:rsidR="00697AF9" w:rsidRDefault="00697AF9">
            <w:pPr>
              <w:pStyle w:val="ConsPlusNormal"/>
            </w:pPr>
            <w:r>
              <w:t>фундаменты, кирпичные несущие стены, деревянные перекрытия и стропильная система</w:t>
            </w:r>
          </w:p>
        </w:tc>
        <w:tc>
          <w:tcPr>
            <w:tcW w:w="3912" w:type="dxa"/>
          </w:tcPr>
          <w:p w14:paraId="7A9A7070" w14:textId="77777777" w:rsidR="00697AF9" w:rsidRDefault="00697AF9">
            <w:pPr>
              <w:pStyle w:val="ConsPlusNormal"/>
            </w:pPr>
          </w:p>
        </w:tc>
      </w:tr>
      <w:tr w:rsidR="00697AF9" w14:paraId="50735C80" w14:textId="77777777">
        <w:tc>
          <w:tcPr>
            <w:tcW w:w="567" w:type="dxa"/>
          </w:tcPr>
          <w:p w14:paraId="365DEEB3" w14:textId="77777777" w:rsidR="00697AF9" w:rsidRDefault="00697AF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</w:tcPr>
          <w:p w14:paraId="4C9B1DD9" w14:textId="77777777" w:rsidR="00697AF9" w:rsidRDefault="00697AF9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268" w:type="dxa"/>
          </w:tcPr>
          <w:p w14:paraId="75D4D8FB" w14:textId="77777777" w:rsidR="00697AF9" w:rsidRDefault="00697AF9">
            <w:pPr>
              <w:pStyle w:val="ConsPlusNormal"/>
            </w:pPr>
            <w:r>
              <w:t>кирпичная кладка стен с последующим окрашиванием декоративных элементов</w:t>
            </w:r>
          </w:p>
        </w:tc>
        <w:tc>
          <w:tcPr>
            <w:tcW w:w="3912" w:type="dxa"/>
          </w:tcPr>
          <w:p w14:paraId="01951C82" w14:textId="77777777" w:rsidR="00697AF9" w:rsidRDefault="00697AF9">
            <w:pPr>
              <w:pStyle w:val="ConsPlusNormal"/>
            </w:pPr>
          </w:p>
        </w:tc>
      </w:tr>
    </w:tbl>
    <w:p w14:paraId="74B079F5" w14:textId="77777777" w:rsidR="00697AF9" w:rsidRDefault="00697AF9">
      <w:pPr>
        <w:pStyle w:val="ConsPlusNormal"/>
        <w:jc w:val="both"/>
      </w:pPr>
    </w:p>
    <w:p w14:paraId="3143A10B" w14:textId="77777777" w:rsidR="00697AF9" w:rsidRDefault="00697AF9">
      <w:pPr>
        <w:pStyle w:val="ConsPlusNormal"/>
        <w:jc w:val="both"/>
      </w:pPr>
    </w:p>
    <w:p w14:paraId="0A85F259" w14:textId="77777777" w:rsidR="00697AF9" w:rsidRDefault="00697AF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0670857" w14:textId="77777777" w:rsidR="00697AF9" w:rsidRDefault="00697AF9"/>
    <w:sectPr w:rsidR="00697AF9" w:rsidSect="00697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F9"/>
    <w:rsid w:val="004B3F43"/>
    <w:rsid w:val="0069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36D1B"/>
  <w15:chartTrackingRefBased/>
  <w15:docId w15:val="{506C5DC3-41A8-44F4-8E88-D3C16D85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7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7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7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7A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7A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7A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7A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7A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7A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7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7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7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7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7A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7A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7A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7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7A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7AF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97A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97A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97AF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FD9ECF8C994C4F50D2625D77E0377AD4E6CD2BB106054B07C416AF9D4E7F62EF510DBE5AB0379CB40D66E2BC43B7F8B391407C44DEB97DAF44F84665c47CH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FD9ECF8C994C4F50D262437AF65B25D1E4C677BA060D40569E43A9CA112F64BA114DB80FF37391B40D6DB6EC07E9A1E2DC0B7046C9A57CAFc57FH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FD9ECF8C994C4F50D262437AF65B25D1E2CF76BD0D0D40569E43A9CA112F64BA034DE003F37A8FB40F78E0BD41cB79H" TargetMode="Externa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2025-12-09T07:59:00Z</dcterms:created>
  <dcterms:modified xsi:type="dcterms:W3CDTF">2025-12-09T08:00:00Z</dcterms:modified>
</cp:coreProperties>
</file>