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B50" w:rsidRDefault="00E83B5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83B50" w:rsidRDefault="00E83B50">
      <w:pPr>
        <w:pStyle w:val="ConsPlusNormal"/>
        <w:outlineLvl w:val="0"/>
      </w:pPr>
    </w:p>
    <w:p w:rsidR="00E83B50" w:rsidRDefault="00E83B50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E83B50" w:rsidRDefault="00E83B50">
      <w:pPr>
        <w:pStyle w:val="ConsPlusTitle"/>
        <w:jc w:val="center"/>
      </w:pPr>
    </w:p>
    <w:p w:rsidR="00E83B50" w:rsidRDefault="00E83B50">
      <w:pPr>
        <w:pStyle w:val="ConsPlusTitle"/>
        <w:jc w:val="center"/>
      </w:pPr>
      <w:r>
        <w:t>ПРИКАЗ</w:t>
      </w:r>
    </w:p>
    <w:p w:rsidR="00E83B50" w:rsidRDefault="00E83B50">
      <w:pPr>
        <w:pStyle w:val="ConsPlusTitle"/>
        <w:jc w:val="center"/>
      </w:pPr>
      <w:r>
        <w:t>от 17 июня 2014 г. N 01-20/262</w:t>
      </w:r>
    </w:p>
    <w:p w:rsidR="00E83B50" w:rsidRDefault="00E83B50">
      <w:pPr>
        <w:pStyle w:val="ConsPlusTitle"/>
        <w:jc w:val="center"/>
      </w:pPr>
    </w:p>
    <w:p w:rsidR="00E83B50" w:rsidRDefault="00E83B50">
      <w:pPr>
        <w:pStyle w:val="ConsPlusTitle"/>
        <w:jc w:val="center"/>
      </w:pPr>
      <w:r>
        <w:t>ОБ УТВЕРЖДЕНИИ ОПИСАНИЯ ОСОБЕННОСТЕЙ, ПОСЛУЖИВШИХ</w:t>
      </w:r>
    </w:p>
    <w:p w:rsidR="00E83B50" w:rsidRDefault="00E83B50">
      <w:pPr>
        <w:pStyle w:val="ConsPlusTitle"/>
        <w:jc w:val="center"/>
      </w:pPr>
      <w:r>
        <w:t>ОСНОВАНИЯМИ ДЛЯ ВКЛЮЧЕНИЯ В ЕДИНЫЙ ГОСУДАРСТВЕННЫЙ РЕЕСТР</w:t>
      </w:r>
    </w:p>
    <w:p w:rsidR="00E83B50" w:rsidRDefault="00E83B50">
      <w:pPr>
        <w:pStyle w:val="ConsPlusTitle"/>
        <w:jc w:val="center"/>
      </w:pPr>
      <w:proofErr w:type="gramStart"/>
      <w:r>
        <w:t>ОБЪЕКТОВ КУЛЬТУРНОГО НАСЛЕДИЯ (ПАМЯТНИКОВ ИСТОРИИ</w:t>
      </w:r>
      <w:proofErr w:type="gramEnd"/>
    </w:p>
    <w:p w:rsidR="00E83B50" w:rsidRDefault="00E83B50">
      <w:pPr>
        <w:pStyle w:val="ConsPlusTitle"/>
        <w:jc w:val="center"/>
      </w:pPr>
      <w:proofErr w:type="gramStart"/>
      <w:r>
        <w:t>И КУЛЬТУРЫ) НАРОДОВ РОССИЙСКОЙ ФЕДЕРАЦИИ И ПОДЛЕЖАЩИХ</w:t>
      </w:r>
      <w:proofErr w:type="gramEnd"/>
    </w:p>
    <w:p w:rsidR="00E83B50" w:rsidRDefault="00E83B50">
      <w:pPr>
        <w:pStyle w:val="ConsPlusTitle"/>
        <w:jc w:val="center"/>
      </w:pPr>
      <w:r>
        <w:t>ОБЯЗАТЕЛЬНОМУ СОХРАНЕНИЮ (ПРЕДМЕТ ОХРАНЫ), ОБЪЕКТА</w:t>
      </w:r>
    </w:p>
    <w:p w:rsidR="00E83B50" w:rsidRDefault="00E83B50">
      <w:pPr>
        <w:pStyle w:val="ConsPlusTitle"/>
        <w:jc w:val="center"/>
      </w:pPr>
      <w:r>
        <w:t>КУЛЬТУРНОГО НАСЛЕДИЯ РЕГИОНАЛЬНОГО ЗНАЧЕНИЯ "ЖИЛОЙ ДОМ",</w:t>
      </w:r>
    </w:p>
    <w:p w:rsidR="00E83B50" w:rsidRDefault="00E83B50">
      <w:pPr>
        <w:pStyle w:val="ConsPlusTitle"/>
        <w:jc w:val="center"/>
      </w:pPr>
      <w:r>
        <w:t xml:space="preserve">КОН. XIX В., </w:t>
      </w: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E83B50" w:rsidRDefault="00E83B50">
      <w:pPr>
        <w:pStyle w:val="ConsPlusTitle"/>
        <w:jc w:val="center"/>
      </w:pPr>
      <w:r>
        <w:t>СОВЕТСКИЙ РАЙОН, ШЕСТОЙ КИЛОМЕТР, 2</w:t>
      </w:r>
    </w:p>
    <w:p w:rsidR="00E83B50" w:rsidRDefault="00E83B50">
      <w:pPr>
        <w:pStyle w:val="ConsPlusNormal"/>
        <w:jc w:val="center"/>
      </w:pPr>
    </w:p>
    <w:p w:rsidR="00E83B50" w:rsidRDefault="00E83B5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:rsidR="00E83B50" w:rsidRDefault="00E83B5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(далее именуется - предмет охраны), объекта культурного наследия регионального значения: "Жилой дом", кон. XIX в., </w:t>
      </w:r>
      <w:proofErr w:type="gramStart"/>
      <w:r>
        <w:t>расположенного</w:t>
      </w:r>
      <w:proofErr w:type="gramEnd"/>
      <w:r>
        <w:t xml:space="preserve"> по адресу: г. Волгоград, Советский район, шестой километр, 2, согласно приложению.</w:t>
      </w:r>
    </w:p>
    <w:p w:rsidR="00E83B50" w:rsidRDefault="00E83B5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E83B50" w:rsidRDefault="00E83B50">
      <w:pPr>
        <w:pStyle w:val="ConsPlusNormal"/>
        <w:ind w:firstLine="540"/>
        <w:jc w:val="both"/>
      </w:pPr>
    </w:p>
    <w:p w:rsidR="00E83B50" w:rsidRDefault="00E83B50">
      <w:pPr>
        <w:pStyle w:val="ConsPlusNormal"/>
        <w:jc w:val="right"/>
      </w:pPr>
      <w:r>
        <w:t>Министр</w:t>
      </w:r>
    </w:p>
    <w:p w:rsidR="00E83B50" w:rsidRDefault="00E83B50">
      <w:pPr>
        <w:pStyle w:val="ConsPlusNormal"/>
        <w:jc w:val="right"/>
      </w:pPr>
      <w:r>
        <w:t>В.П.ГЕПФНЕР</w:t>
      </w:r>
    </w:p>
    <w:p w:rsidR="00E83B50" w:rsidRDefault="00E83B50">
      <w:pPr>
        <w:pStyle w:val="ConsPlusNormal"/>
        <w:jc w:val="right"/>
      </w:pPr>
    </w:p>
    <w:p w:rsidR="00E83B50" w:rsidRDefault="00E83B50">
      <w:pPr>
        <w:pStyle w:val="ConsPlusNormal"/>
        <w:jc w:val="right"/>
      </w:pPr>
    </w:p>
    <w:p w:rsidR="00E83B50" w:rsidRDefault="00E83B50">
      <w:pPr>
        <w:pStyle w:val="ConsPlusNormal"/>
        <w:jc w:val="right"/>
      </w:pPr>
    </w:p>
    <w:p w:rsidR="00E83B50" w:rsidRDefault="00E83B50">
      <w:pPr>
        <w:pStyle w:val="ConsPlusNormal"/>
        <w:jc w:val="right"/>
      </w:pPr>
    </w:p>
    <w:p w:rsidR="00E83B50" w:rsidRDefault="00E83B50">
      <w:pPr>
        <w:pStyle w:val="ConsPlusNormal"/>
        <w:jc w:val="right"/>
      </w:pPr>
    </w:p>
    <w:p w:rsidR="00E83B50" w:rsidRDefault="00E83B50">
      <w:pPr>
        <w:pStyle w:val="ConsPlusNormal"/>
        <w:jc w:val="right"/>
        <w:outlineLvl w:val="0"/>
      </w:pPr>
      <w:r>
        <w:t>Приложение</w:t>
      </w:r>
    </w:p>
    <w:p w:rsidR="00E83B50" w:rsidRDefault="00E83B50">
      <w:pPr>
        <w:pStyle w:val="ConsPlusNormal"/>
        <w:jc w:val="right"/>
      </w:pPr>
      <w:r>
        <w:t>к приказу</w:t>
      </w:r>
    </w:p>
    <w:p w:rsidR="00E83B50" w:rsidRDefault="00E83B50">
      <w:pPr>
        <w:pStyle w:val="ConsPlusNormal"/>
        <w:jc w:val="right"/>
      </w:pPr>
      <w:r>
        <w:t>министерства культуры</w:t>
      </w:r>
    </w:p>
    <w:p w:rsidR="00E83B50" w:rsidRDefault="00E83B50">
      <w:pPr>
        <w:pStyle w:val="ConsPlusNormal"/>
        <w:jc w:val="right"/>
      </w:pPr>
      <w:r>
        <w:t>Волгоградской области</w:t>
      </w:r>
    </w:p>
    <w:p w:rsidR="00E83B50" w:rsidRDefault="00E83B50">
      <w:pPr>
        <w:pStyle w:val="ConsPlusNormal"/>
        <w:jc w:val="right"/>
      </w:pPr>
      <w:r>
        <w:t>от 17 июня 2014 г. N 01-20/262</w:t>
      </w:r>
    </w:p>
    <w:p w:rsidR="00E83B50" w:rsidRDefault="00E83B50">
      <w:pPr>
        <w:pStyle w:val="ConsPlusNormal"/>
        <w:ind w:firstLine="540"/>
        <w:jc w:val="both"/>
      </w:pPr>
    </w:p>
    <w:p w:rsidR="00E83B50" w:rsidRDefault="00E83B50">
      <w:pPr>
        <w:pStyle w:val="ConsPlusTitle"/>
        <w:jc w:val="center"/>
      </w:pPr>
      <w:bookmarkStart w:id="0" w:name="P32"/>
      <w:bookmarkEnd w:id="0"/>
      <w:r>
        <w:t xml:space="preserve">ОПИСАНИЕ ОСОБЕННОСТЕЙ, ПОСЛУЖИВШИХ ОСНОВАНИЯМИ </w:t>
      </w:r>
      <w:proofErr w:type="gramStart"/>
      <w:r>
        <w:t>ДЛЯ</w:t>
      </w:r>
      <w:proofErr w:type="gramEnd"/>
    </w:p>
    <w:p w:rsidR="00E83B50" w:rsidRDefault="00E83B50">
      <w:pPr>
        <w:pStyle w:val="ConsPlusTitle"/>
        <w:jc w:val="center"/>
      </w:pPr>
      <w:r>
        <w:t>ВКЛЮЧЕНИЯ В ЕДИНЫЙ ГОСУДАРСТВЕННЫЙ РЕЕСТР ОБЪЕКТОВ</w:t>
      </w:r>
    </w:p>
    <w:p w:rsidR="00E83B50" w:rsidRDefault="00E83B50">
      <w:pPr>
        <w:pStyle w:val="ConsPlusTitle"/>
        <w:jc w:val="center"/>
      </w:pPr>
      <w:r>
        <w:t>КУЛЬТУРНОГО НАСЛЕДИЯ (ПАМЯТНИКОВ ИСТОРИИ И КУЛЬТУРЫ) НАРОДОВ</w:t>
      </w:r>
    </w:p>
    <w:p w:rsidR="00E83B50" w:rsidRDefault="00E83B50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E83B50" w:rsidRDefault="00E83B50">
      <w:pPr>
        <w:pStyle w:val="ConsPlusTitle"/>
        <w:jc w:val="center"/>
      </w:pPr>
      <w:r>
        <w:t>(ДАЛЕЕ ИМЕНУЕТСЯ - ПРЕДМЕТ ОХРАНЫ), ОБЪЕКТА КУЛЬТУРНОГО</w:t>
      </w:r>
    </w:p>
    <w:p w:rsidR="00E83B50" w:rsidRDefault="00E83B50">
      <w:pPr>
        <w:pStyle w:val="ConsPlusTitle"/>
        <w:jc w:val="center"/>
      </w:pPr>
      <w:r>
        <w:t>НАСЛЕДИЯ РЕГИОНАЛЬНОГО ЗНАЧЕНИЯ "ЖИЛОЙ ДОМ", КОН. XIX В.,</w:t>
      </w:r>
    </w:p>
    <w:p w:rsidR="00E83B50" w:rsidRDefault="00E83B50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СОВЕТСКИЙ РАЙОН,</w:t>
      </w:r>
    </w:p>
    <w:p w:rsidR="00E83B50" w:rsidRDefault="00E83B50">
      <w:pPr>
        <w:pStyle w:val="ConsPlusTitle"/>
        <w:jc w:val="center"/>
      </w:pPr>
      <w:r>
        <w:t>ШЕСТОЙ КИЛОМЕТР, 2</w:t>
      </w:r>
    </w:p>
    <w:p w:rsidR="00E83B50" w:rsidRDefault="00E83B50">
      <w:pPr>
        <w:pStyle w:val="ConsPlusNormal"/>
        <w:ind w:firstLine="540"/>
        <w:jc w:val="both"/>
      </w:pPr>
    </w:p>
    <w:p w:rsidR="00E83B50" w:rsidRDefault="00E83B50">
      <w:pPr>
        <w:pStyle w:val="ConsPlusNormal"/>
        <w:ind w:firstLine="540"/>
        <w:jc w:val="both"/>
      </w:pPr>
      <w:r>
        <w:t xml:space="preserve">Особенностями, послужившими основаниями для включения в единый государственный </w:t>
      </w:r>
      <w:r>
        <w:lastRenderedPageBreak/>
        <w:t xml:space="preserve">реестр объектов культурного наследия (памятников истории и культуры) народов Российской Федерации и подлежащими обязательному сохранению (предмет охраны), объекта культурного наследия регионального значения "Жилой дом", кон. XIX в., </w:t>
      </w:r>
      <w:proofErr w:type="gramStart"/>
      <w:r>
        <w:t>расположенного</w:t>
      </w:r>
      <w:proofErr w:type="gramEnd"/>
      <w:r>
        <w:t xml:space="preserve"> по адресу: г. Волгоград, Советский район, шестой километр, 2, являются:</w:t>
      </w:r>
    </w:p>
    <w:p w:rsidR="00E83B50" w:rsidRDefault="00E83B50">
      <w:pPr>
        <w:pStyle w:val="ConsPlusNormal"/>
        <w:spacing w:before="220"/>
        <w:ind w:firstLine="540"/>
        <w:jc w:val="both"/>
      </w:pPr>
      <w:proofErr w:type="gramStart"/>
      <w:r>
        <w:t>местоположение объекта культурного наследия: около ж/д переезда на Нижней Ельшанке, в полосе отвода железной дороги;</w:t>
      </w:r>
      <w:proofErr w:type="gramEnd"/>
    </w:p>
    <w:p w:rsidR="00E83B50" w:rsidRDefault="00E83B50">
      <w:pPr>
        <w:pStyle w:val="ConsPlusNormal"/>
        <w:spacing w:before="220"/>
        <w:ind w:firstLine="540"/>
        <w:jc w:val="both"/>
      </w:pPr>
      <w:r>
        <w:t>участок земель в границах территории объекта культурного наследия;</w:t>
      </w:r>
    </w:p>
    <w:p w:rsidR="00E83B50" w:rsidRDefault="00E83B50">
      <w:pPr>
        <w:pStyle w:val="ConsPlusNormal"/>
        <w:spacing w:before="220"/>
        <w:ind w:firstLine="540"/>
        <w:jc w:val="both"/>
      </w:pPr>
      <w:r>
        <w:t>объемно-пространственное, композиционное, объемно-планировочное решение прямоугольного в плане одноэтажного жилого здания;</w:t>
      </w:r>
    </w:p>
    <w:p w:rsidR="00E83B50" w:rsidRDefault="00E83B50">
      <w:pPr>
        <w:pStyle w:val="ConsPlusNormal"/>
        <w:spacing w:before="220"/>
        <w:ind w:firstLine="540"/>
        <w:jc w:val="both"/>
      </w:pPr>
      <w:r>
        <w:t>двускатная форма, габариты и высотные отметки крыши, слуховых окон;</w:t>
      </w:r>
    </w:p>
    <w:p w:rsidR="00E83B50" w:rsidRDefault="00E83B50">
      <w:pPr>
        <w:pStyle w:val="ConsPlusNormal"/>
        <w:spacing w:before="220"/>
        <w:ind w:firstLine="540"/>
        <w:jc w:val="both"/>
      </w:pPr>
      <w:r>
        <w:t>видовые раскрытия со стороны ул. Садовой и ул. Электролесовской;</w:t>
      </w:r>
    </w:p>
    <w:p w:rsidR="00E83B50" w:rsidRDefault="00E83B50">
      <w:pPr>
        <w:pStyle w:val="ConsPlusNormal"/>
        <w:spacing w:before="220"/>
        <w:ind w:firstLine="540"/>
        <w:jc w:val="both"/>
      </w:pPr>
      <w:r>
        <w:t>композиция и архитектурно-</w:t>
      </w:r>
      <w:proofErr w:type="gramStart"/>
      <w:r>
        <w:t>художественное решение</w:t>
      </w:r>
      <w:proofErr w:type="gramEnd"/>
      <w:r>
        <w:t>, форма, размер, профили декоративных элементов фасадов:</w:t>
      </w:r>
    </w:p>
    <w:p w:rsidR="00E83B50" w:rsidRDefault="00E83B50">
      <w:pPr>
        <w:pStyle w:val="ConsPlusNormal"/>
        <w:spacing w:before="220"/>
        <w:ind w:firstLine="540"/>
        <w:jc w:val="both"/>
      </w:pPr>
      <w:r>
        <w:t>северный фасад и его декоративное убранство: цоколь, стилизованная угловая рустовка, клинчатая перемычка с замковым камнем;</w:t>
      </w:r>
    </w:p>
    <w:p w:rsidR="00E83B50" w:rsidRDefault="00E83B50">
      <w:pPr>
        <w:pStyle w:val="ConsPlusNormal"/>
        <w:spacing w:before="220"/>
        <w:ind w:firstLine="540"/>
        <w:jc w:val="both"/>
      </w:pPr>
      <w:r>
        <w:t>южный фасад и его декоративное убранство: цоколь, стилизованная угловая рустовка;</w:t>
      </w:r>
    </w:p>
    <w:p w:rsidR="00E83B50" w:rsidRDefault="00E83B50">
      <w:pPr>
        <w:pStyle w:val="ConsPlusNormal"/>
        <w:spacing w:before="220"/>
        <w:ind w:firstLine="540"/>
        <w:jc w:val="both"/>
      </w:pPr>
      <w:r>
        <w:t>восточный фасад и его декоративные элементы: цоколь, стилизованная угловая рустовка;</w:t>
      </w:r>
    </w:p>
    <w:p w:rsidR="00E83B50" w:rsidRDefault="00E83B50">
      <w:pPr>
        <w:pStyle w:val="ConsPlusNormal"/>
        <w:spacing w:before="220"/>
        <w:ind w:firstLine="540"/>
        <w:jc w:val="both"/>
      </w:pPr>
      <w:r>
        <w:t>западный фасад и его декоративные элементы: цоколь, стилизованная угловая рустовка;</w:t>
      </w:r>
    </w:p>
    <w:p w:rsidR="00E83B50" w:rsidRDefault="00E83B50">
      <w:pPr>
        <w:pStyle w:val="ConsPlusNormal"/>
        <w:spacing w:before="220"/>
        <w:ind w:firstLine="540"/>
        <w:jc w:val="both"/>
      </w:pPr>
      <w:r>
        <w:t>количество, форма, размер и местоположение оконных и дверных проемов, характер расстекловки;</w:t>
      </w:r>
    </w:p>
    <w:p w:rsidR="00E83B50" w:rsidRDefault="00E83B50">
      <w:pPr>
        <w:pStyle w:val="ConsPlusNormal"/>
        <w:spacing w:before="220"/>
        <w:ind w:firstLine="540"/>
        <w:jc w:val="both"/>
      </w:pPr>
      <w:proofErr w:type="gramStart"/>
      <w:r>
        <w:t>конструктивные элементы: подлинные строительные материалы, работоспособное состояние несущих конструкций (фундаменты, капитальные стены, лестницы, перекрытия, крыша);</w:t>
      </w:r>
      <w:proofErr w:type="gramEnd"/>
    </w:p>
    <w:p w:rsidR="00E83B50" w:rsidRDefault="00E83B50">
      <w:pPr>
        <w:pStyle w:val="ConsPlusNormal"/>
        <w:spacing w:before="220"/>
        <w:ind w:firstLine="540"/>
        <w:jc w:val="both"/>
      </w:pPr>
      <w:r>
        <w:t>материал и отделка наружных стен: кирпич, штукатурка, окраска.</w:t>
      </w:r>
    </w:p>
    <w:p w:rsidR="00E83B50" w:rsidRDefault="00E83B50">
      <w:pPr>
        <w:pStyle w:val="ConsPlusNormal"/>
        <w:ind w:firstLine="540"/>
        <w:jc w:val="both"/>
      </w:pPr>
    </w:p>
    <w:p w:rsidR="00E83B50" w:rsidRDefault="00E83B50">
      <w:pPr>
        <w:pStyle w:val="ConsPlusNormal"/>
        <w:ind w:firstLine="540"/>
        <w:jc w:val="both"/>
      </w:pPr>
    </w:p>
    <w:p w:rsidR="00E83B50" w:rsidRDefault="00E83B5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83B50" w:rsidRDefault="00E83B50">
      <w:bookmarkStart w:id="1" w:name="_GoBack"/>
      <w:bookmarkEnd w:id="1"/>
    </w:p>
    <w:sectPr w:rsidR="00E83B50" w:rsidSect="00635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B50"/>
    <w:rsid w:val="00E8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3B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3B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3B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3B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83B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3B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DAC69CD40D9619BB5D72477AE8757C3274783992BB71DCC58952DEEE73ECD436749FDB5D6741DA16C24565285880B6A1C61290EA79A172D37B4F5hDj5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AC69CD40D9619BB5D73A7AB8EB08C62648D59225BD169907CA76B3B037C7143206FCFB937A02A06E3A55538ChDjCM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3348</Characters>
  <Application>Microsoft Office Word</Application>
  <DocSecurity>0</DocSecurity>
  <Lines>27</Lines>
  <Paragraphs>7</Paragraphs>
  <ScaleCrop>false</ScaleCrop>
  <Company/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2020-12-13T12:35:00Z</dcterms:created>
  <dcterms:modified xsi:type="dcterms:W3CDTF">2020-12-13T12:36:00Z</dcterms:modified>
</cp:coreProperties>
</file>